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839CCA" w14:textId="640BCF9B"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F4A8E">
        <w:rPr>
          <w:noProof w:val="0"/>
          <w:sz w:val="24"/>
          <w:szCs w:val="24"/>
        </w:rPr>
        <w:t>1</w:t>
      </w:r>
      <w:r w:rsidR="00225F6D">
        <w:rPr>
          <w:noProof w:val="0"/>
          <w:sz w:val="24"/>
          <w:szCs w:val="24"/>
        </w:rPr>
        <w:t>3</w:t>
      </w:r>
      <w:r w:rsidR="00741EC5">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C275BC">
        <w:rPr>
          <w:bCs/>
          <w:noProof w:val="0"/>
          <w:sz w:val="24"/>
          <w:szCs w:val="24"/>
        </w:rPr>
        <w:t>1</w:t>
      </w:r>
      <w:r w:rsidR="00BA3009">
        <w:rPr>
          <w:bCs/>
          <w:noProof w:val="0"/>
          <w:sz w:val="24"/>
          <w:szCs w:val="24"/>
        </w:rPr>
        <w:t>3687</w:t>
      </w:r>
    </w:p>
    <w:p w14:paraId="1822B173" w14:textId="6D946DDE" w:rsidR="00CD4C7B" w:rsidRPr="00B1063A" w:rsidRDefault="00797D4B" w:rsidP="00CD4C7B">
      <w:pPr>
        <w:pStyle w:val="Header"/>
        <w:tabs>
          <w:tab w:val="right" w:pos="9639"/>
        </w:tabs>
        <w:rPr>
          <w:bCs/>
          <w:noProof w:val="0"/>
          <w:sz w:val="24"/>
          <w:szCs w:val="24"/>
          <w:lang w:val="en-US"/>
        </w:rPr>
      </w:pPr>
      <w:bookmarkStart w:id="1" w:name="_Hlk490060723"/>
      <w:r>
        <w:rPr>
          <w:rFonts w:cs="Arial"/>
          <w:sz w:val="24"/>
          <w:szCs w:val="24"/>
          <w:lang w:val="en-US"/>
        </w:rPr>
        <w:t>E-meeting</w:t>
      </w:r>
      <w:r w:rsidR="001370F2" w:rsidRPr="00B1063A">
        <w:rPr>
          <w:rFonts w:cs="Arial"/>
          <w:sz w:val="24"/>
          <w:szCs w:val="24"/>
          <w:lang w:val="en-US"/>
        </w:rPr>
        <w:t xml:space="preserve">, </w:t>
      </w:r>
      <w:bookmarkEnd w:id="1"/>
      <w:r w:rsidR="00225F6D" w:rsidRPr="00225F6D">
        <w:rPr>
          <w:rFonts w:cs="Arial"/>
          <w:sz w:val="24"/>
          <w:szCs w:val="24"/>
          <w:lang w:val="en-US"/>
        </w:rPr>
        <w:t>16 – 26 August</w:t>
      </w:r>
      <w:r w:rsidR="003702F7" w:rsidRPr="003702F7">
        <w:rPr>
          <w:rFonts w:cs="Arial"/>
          <w:sz w:val="24"/>
          <w:szCs w:val="24"/>
          <w:lang w:val="en-US"/>
        </w:rPr>
        <w:t>, 2021</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5F0B5625"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F54CB8">
        <w:rPr>
          <w:rFonts w:cs="Arial"/>
          <w:b/>
          <w:bCs/>
          <w:sz w:val="24"/>
          <w:lang w:val="en-US" w:eastAsia="ja-JP"/>
        </w:rPr>
        <w:t>10.2.2</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0B8883B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54CB8">
        <w:rPr>
          <w:rFonts w:ascii="Arial" w:hAnsi="Arial" w:cs="Arial"/>
          <w:b/>
          <w:bCs/>
          <w:sz w:val="24"/>
        </w:rPr>
        <w:t xml:space="preserve">Coverage aspect of </w:t>
      </w:r>
      <w:r w:rsidR="006A307C">
        <w:rPr>
          <w:rFonts w:ascii="Arial" w:hAnsi="Arial" w:cs="Arial"/>
          <w:b/>
          <w:bCs/>
          <w:sz w:val="24"/>
        </w:rPr>
        <w:t xml:space="preserve">NR </w:t>
      </w:r>
      <w:r w:rsidR="00F54CB8">
        <w:rPr>
          <w:rFonts w:ascii="Arial" w:hAnsi="Arial" w:cs="Arial"/>
          <w:b/>
          <w:bCs/>
          <w:sz w:val="24"/>
        </w:rPr>
        <w:t>CCO</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4860E0D2" w14:textId="7916F818" w:rsidR="00CD4C7B" w:rsidRDefault="00F54CB8" w:rsidP="00CD4C7B">
      <w:r>
        <w:t xml:space="preserve">This paper follows up on CCO discussion at RAN3#112-e, providing </w:t>
      </w:r>
      <w:r w:rsidR="0021689F">
        <w:t>our view on</w:t>
      </w:r>
      <w:r>
        <w:t xml:space="preserve"> the raised open issues.</w:t>
      </w:r>
    </w:p>
    <w:p w14:paraId="479DA40B" w14:textId="77777777" w:rsidR="00CD4C7B" w:rsidRPr="006E13D1" w:rsidRDefault="00CD4C7B" w:rsidP="00CD4C7B">
      <w:pPr>
        <w:pStyle w:val="Heading1"/>
      </w:pPr>
      <w:r w:rsidRPr="006E13D1">
        <w:t>2</w:t>
      </w:r>
      <w:r w:rsidRPr="006E13D1">
        <w:tab/>
      </w:r>
      <w:r w:rsidR="00972FD7">
        <w:t>Discussion</w:t>
      </w:r>
    </w:p>
    <w:p w14:paraId="36315EB9" w14:textId="77777777" w:rsidR="00F54CB8" w:rsidRDefault="00F54CB8" w:rsidP="00F54CB8">
      <w:pPr>
        <w:pStyle w:val="Heading2"/>
      </w:pPr>
      <w:r>
        <w:t>2.1</w:t>
      </w:r>
      <w:r>
        <w:tab/>
        <w:t>Issue 1</w:t>
      </w:r>
      <w:r>
        <w:tab/>
        <w:t xml:space="preserve"> </w:t>
      </w:r>
    </w:p>
    <w:p w14:paraId="1F0BB2AE" w14:textId="04D8302C" w:rsidR="00F54CB8" w:rsidRDefault="00F54CB8" w:rsidP="00F54CB8">
      <w:pPr>
        <w:pStyle w:val="00BodyText"/>
        <w:spacing w:after="0"/>
        <w:rPr>
          <w:rFonts w:ascii="Times New Roman" w:hAnsi="Times New Roman"/>
          <w:sz w:val="20"/>
          <w:lang w:val="en-GB"/>
        </w:rPr>
      </w:pPr>
      <w:r w:rsidRPr="004B1EFE">
        <w:rPr>
          <w:rFonts w:ascii="Calibri" w:hAnsi="Calibri" w:cs="Calibri"/>
          <w:b/>
          <w:color w:val="0000FF"/>
          <w:sz w:val="18"/>
          <w:szCs w:val="24"/>
        </w:rPr>
        <w:t>In LTE, OAM defines a set of alternative coverage configurations to be used for cells served by a node. Does this apply also for NR?</w:t>
      </w:r>
    </w:p>
    <w:p w14:paraId="0B30E740" w14:textId="77777777" w:rsidR="00F54CB8" w:rsidRDefault="00F54CB8" w:rsidP="00F54CB8">
      <w:pPr>
        <w:pStyle w:val="00BodyText"/>
        <w:spacing w:after="0"/>
        <w:rPr>
          <w:rFonts w:ascii="Times New Roman" w:hAnsi="Times New Roman"/>
          <w:sz w:val="20"/>
          <w:lang w:val="en-GB"/>
        </w:rPr>
      </w:pPr>
    </w:p>
    <w:p w14:paraId="08BDE37B" w14:textId="3C5778BC" w:rsidR="00DB5928" w:rsidRDefault="00DB5928" w:rsidP="00F54CB8">
      <w:pPr>
        <w:pStyle w:val="00BodyText"/>
        <w:spacing w:after="0"/>
        <w:rPr>
          <w:rFonts w:ascii="Times New Roman" w:hAnsi="Times New Roman"/>
          <w:sz w:val="20"/>
          <w:lang w:val="en-GB"/>
        </w:rPr>
      </w:pPr>
      <w:r>
        <w:rPr>
          <w:rFonts w:ascii="Times New Roman" w:hAnsi="Times New Roman"/>
          <w:sz w:val="20"/>
          <w:lang w:val="en-GB"/>
        </w:rPr>
        <w:t xml:space="preserve">The </w:t>
      </w:r>
      <w:r w:rsidR="00610CF7">
        <w:rPr>
          <w:rFonts w:ascii="Times New Roman" w:hAnsi="Times New Roman"/>
          <w:sz w:val="20"/>
          <w:lang w:val="en-GB"/>
        </w:rPr>
        <w:t>alternative</w:t>
      </w:r>
      <w:r>
        <w:rPr>
          <w:rFonts w:ascii="Times New Roman" w:hAnsi="Times New Roman"/>
          <w:sz w:val="20"/>
          <w:lang w:val="en-GB"/>
        </w:rPr>
        <w:t xml:space="preserve"> coverage configuration</w:t>
      </w:r>
      <w:r w:rsidR="00610CF7">
        <w:rPr>
          <w:rFonts w:ascii="Times New Roman" w:hAnsi="Times New Roman"/>
          <w:sz w:val="20"/>
          <w:lang w:val="en-GB"/>
        </w:rPr>
        <w:t xml:space="preserve"> / cell layout</w:t>
      </w:r>
      <w:r>
        <w:rPr>
          <w:rFonts w:ascii="Times New Roman" w:hAnsi="Times New Roman"/>
          <w:sz w:val="20"/>
          <w:lang w:val="en-GB"/>
        </w:rPr>
        <w:t xml:space="preserve"> sets in LTE result from cell splitting/merging approach providing a location-variant cell densification for flexible capacity/coverage balance</w:t>
      </w:r>
      <w:r w:rsidR="0051093B">
        <w:rPr>
          <w:rFonts w:ascii="Times New Roman" w:hAnsi="Times New Roman"/>
          <w:sz w:val="20"/>
          <w:lang w:val="en-GB"/>
        </w:rPr>
        <w:t>.</w:t>
      </w:r>
      <w:r>
        <w:rPr>
          <w:rFonts w:ascii="Times New Roman" w:hAnsi="Times New Roman"/>
          <w:sz w:val="20"/>
          <w:lang w:val="en-GB"/>
        </w:rPr>
        <w:t xml:space="preserve"> </w:t>
      </w:r>
      <w:r w:rsidR="00610CF7">
        <w:rPr>
          <w:rFonts w:ascii="Times New Roman" w:hAnsi="Times New Roman"/>
          <w:sz w:val="20"/>
          <w:lang w:val="en-GB"/>
        </w:rPr>
        <w:t xml:space="preserve">That means that </w:t>
      </w:r>
      <w:r w:rsidR="00391F23">
        <w:rPr>
          <w:rFonts w:ascii="Times New Roman" w:hAnsi="Times New Roman"/>
          <w:sz w:val="20"/>
          <w:lang w:val="en-GB"/>
        </w:rPr>
        <w:t>these alternative coverage configurations</w:t>
      </w:r>
      <w:r w:rsidR="00610CF7">
        <w:rPr>
          <w:rFonts w:ascii="Times New Roman" w:hAnsi="Times New Roman"/>
          <w:sz w:val="20"/>
          <w:lang w:val="en-GB"/>
        </w:rPr>
        <w:t xml:space="preserve"> directly serve the purpose of capacity optimization,</w:t>
      </w:r>
    </w:p>
    <w:p w14:paraId="00C5F86E" w14:textId="77777777" w:rsidR="00DB5928" w:rsidRDefault="00DB5928" w:rsidP="00F54CB8">
      <w:pPr>
        <w:pStyle w:val="00BodyText"/>
        <w:spacing w:after="0"/>
        <w:rPr>
          <w:rFonts w:ascii="Times New Roman" w:hAnsi="Times New Roman"/>
          <w:sz w:val="20"/>
          <w:lang w:val="en-GB"/>
        </w:rPr>
      </w:pPr>
    </w:p>
    <w:p w14:paraId="6D82C6FB" w14:textId="424CD9D3" w:rsidR="00391F23" w:rsidRDefault="00366A32" w:rsidP="00F54CB8">
      <w:pPr>
        <w:pStyle w:val="00BodyText"/>
        <w:spacing w:after="0"/>
        <w:rPr>
          <w:rFonts w:ascii="Times New Roman" w:hAnsi="Times New Roman"/>
          <w:sz w:val="20"/>
          <w:lang w:val="en-GB"/>
        </w:rPr>
      </w:pPr>
      <w:r>
        <w:rPr>
          <w:rFonts w:ascii="Times New Roman" w:hAnsi="Times New Roman"/>
          <w:sz w:val="20"/>
          <w:lang w:val="en-GB"/>
        </w:rPr>
        <w:t>F</w:t>
      </w:r>
      <w:r w:rsidR="000453FE">
        <w:rPr>
          <w:rFonts w:ascii="Times New Roman" w:hAnsi="Times New Roman"/>
          <w:sz w:val="20"/>
          <w:lang w:val="en-GB"/>
        </w:rPr>
        <w:t xml:space="preserve">or NR, </w:t>
      </w:r>
      <w:r w:rsidR="00DB5928">
        <w:rPr>
          <w:rFonts w:ascii="Times New Roman" w:hAnsi="Times New Roman"/>
          <w:sz w:val="20"/>
          <w:lang w:val="en-GB"/>
        </w:rPr>
        <w:t>RRM/</w:t>
      </w:r>
      <w:proofErr w:type="spellStart"/>
      <w:r w:rsidR="00DB5928">
        <w:rPr>
          <w:rFonts w:ascii="Times New Roman" w:hAnsi="Times New Roman"/>
          <w:sz w:val="20"/>
          <w:lang w:val="en-GB"/>
        </w:rPr>
        <w:t>mMIMO</w:t>
      </w:r>
      <w:proofErr w:type="spellEnd"/>
      <w:r w:rsidR="00DB5928">
        <w:rPr>
          <w:rFonts w:ascii="Times New Roman" w:hAnsi="Times New Roman"/>
          <w:sz w:val="20"/>
          <w:lang w:val="en-GB"/>
        </w:rPr>
        <w:t xml:space="preserve"> is the main solution to achieve capacity optimization</w:t>
      </w:r>
      <w:r w:rsidR="009150BC">
        <w:rPr>
          <w:rFonts w:ascii="Times New Roman" w:hAnsi="Times New Roman"/>
          <w:sz w:val="20"/>
          <w:lang w:val="en-GB"/>
        </w:rPr>
        <w:t xml:space="preserve"> using the CSI-RS beams</w:t>
      </w:r>
      <w:r w:rsidR="00DB5928">
        <w:rPr>
          <w:rFonts w:ascii="Times New Roman" w:hAnsi="Times New Roman"/>
          <w:sz w:val="20"/>
          <w:lang w:val="en-GB"/>
        </w:rPr>
        <w:t>.</w:t>
      </w:r>
      <w:r w:rsidR="000453FE">
        <w:rPr>
          <w:rFonts w:ascii="Times New Roman" w:hAnsi="Times New Roman"/>
          <w:sz w:val="20"/>
          <w:lang w:val="en-GB"/>
        </w:rPr>
        <w:t xml:space="preserve"> </w:t>
      </w:r>
      <w:r w:rsidR="00391F23">
        <w:rPr>
          <w:rFonts w:ascii="Times New Roman" w:hAnsi="Times New Roman"/>
          <w:sz w:val="20"/>
          <w:lang w:val="en-GB"/>
        </w:rPr>
        <w:t xml:space="preserve">If we consider the ideal case where array-based antenna systems allow SSB beams and CSI-RS beams </w:t>
      </w:r>
      <w:r w:rsidR="007B3D6E">
        <w:rPr>
          <w:rFonts w:ascii="Times New Roman" w:hAnsi="Times New Roman"/>
          <w:sz w:val="20"/>
          <w:lang w:val="en-GB"/>
        </w:rPr>
        <w:t xml:space="preserve">could </w:t>
      </w:r>
      <w:r w:rsidR="00391F23">
        <w:rPr>
          <w:rFonts w:ascii="Times New Roman" w:hAnsi="Times New Roman"/>
          <w:sz w:val="20"/>
          <w:lang w:val="en-GB"/>
        </w:rPr>
        <w:t>be configured without inter-dependence</w:t>
      </w:r>
      <w:r w:rsidR="007B3D6E">
        <w:rPr>
          <w:rFonts w:ascii="Times New Roman" w:hAnsi="Times New Roman"/>
          <w:sz w:val="20"/>
          <w:lang w:val="en-GB"/>
        </w:rPr>
        <w:t xml:space="preserve"> (</w:t>
      </w:r>
      <w:r w:rsidR="002212E3">
        <w:rPr>
          <w:rFonts w:ascii="Times New Roman" w:hAnsi="Times New Roman"/>
          <w:sz w:val="20"/>
          <w:lang w:val="en-GB"/>
        </w:rPr>
        <w:t>might be only valid for FR1)</w:t>
      </w:r>
      <w:r w:rsidR="00391F23">
        <w:rPr>
          <w:rFonts w:ascii="Times New Roman" w:hAnsi="Times New Roman"/>
          <w:sz w:val="20"/>
          <w:lang w:val="en-GB"/>
        </w:rPr>
        <w:t xml:space="preserve">, one may consider that the operator will </w:t>
      </w:r>
      <w:r w:rsidR="00D24D71" w:rsidRPr="00E50837">
        <w:rPr>
          <w:rFonts w:ascii="Times New Roman" w:hAnsi="Times New Roman"/>
          <w:sz w:val="20"/>
          <w:lang w:val="en-GB"/>
        </w:rPr>
        <w:t>not</w:t>
      </w:r>
      <w:r w:rsidR="00D24D71">
        <w:rPr>
          <w:rFonts w:ascii="Times New Roman" w:hAnsi="Times New Roman"/>
          <w:sz w:val="20"/>
          <w:lang w:val="en-GB"/>
        </w:rPr>
        <w:t xml:space="preserve"> </w:t>
      </w:r>
      <w:r w:rsidR="00391F23">
        <w:rPr>
          <w:rFonts w:ascii="Times New Roman" w:hAnsi="Times New Roman"/>
          <w:sz w:val="20"/>
          <w:lang w:val="en-GB"/>
        </w:rPr>
        <w:t>need to configure alternative set</w:t>
      </w:r>
      <w:r w:rsidR="00B54374">
        <w:rPr>
          <w:rFonts w:ascii="Times New Roman" w:hAnsi="Times New Roman"/>
          <w:sz w:val="20"/>
          <w:lang w:val="en-GB"/>
        </w:rPr>
        <w:t>s</w:t>
      </w:r>
      <w:r w:rsidR="00391F23">
        <w:rPr>
          <w:rFonts w:ascii="Times New Roman" w:hAnsi="Times New Roman"/>
          <w:sz w:val="20"/>
          <w:lang w:val="en-GB"/>
        </w:rPr>
        <w:t xml:space="preserve"> of </w:t>
      </w:r>
      <w:r w:rsidR="00D80AB8">
        <w:rPr>
          <w:rFonts w:ascii="Times New Roman" w:hAnsi="Times New Roman"/>
          <w:sz w:val="20"/>
          <w:lang w:val="en-GB"/>
        </w:rPr>
        <w:t xml:space="preserve">SSB </w:t>
      </w:r>
      <w:r w:rsidR="00B54374">
        <w:rPr>
          <w:rFonts w:ascii="Times New Roman" w:hAnsi="Times New Roman"/>
          <w:sz w:val="20"/>
          <w:lang w:val="en-GB"/>
        </w:rPr>
        <w:t xml:space="preserve">beam </w:t>
      </w:r>
      <w:r w:rsidR="00D80AB8">
        <w:rPr>
          <w:rFonts w:ascii="Times New Roman" w:hAnsi="Times New Roman"/>
          <w:sz w:val="20"/>
          <w:lang w:val="en-GB"/>
        </w:rPr>
        <w:t xml:space="preserve">(coverage) </w:t>
      </w:r>
      <w:r w:rsidR="00391F23">
        <w:rPr>
          <w:rFonts w:ascii="Times New Roman" w:hAnsi="Times New Roman"/>
          <w:sz w:val="20"/>
          <w:lang w:val="en-GB"/>
        </w:rPr>
        <w:t xml:space="preserve">configurations. </w:t>
      </w:r>
      <w:r w:rsidR="0051093B">
        <w:rPr>
          <w:rFonts w:ascii="Times New Roman" w:hAnsi="Times New Roman"/>
          <w:sz w:val="20"/>
          <w:lang w:val="en-GB"/>
        </w:rPr>
        <w:t>The LTE scenario</w:t>
      </w:r>
      <w:r w:rsidR="00DF5ABA">
        <w:rPr>
          <w:rFonts w:ascii="Times New Roman" w:hAnsi="Times New Roman"/>
          <w:sz w:val="20"/>
          <w:lang w:val="en-GB"/>
        </w:rPr>
        <w:t>,</w:t>
      </w:r>
      <w:r w:rsidR="0051093B">
        <w:rPr>
          <w:rFonts w:ascii="Times New Roman" w:hAnsi="Times New Roman"/>
          <w:sz w:val="20"/>
          <w:lang w:val="en-GB"/>
        </w:rPr>
        <w:t xml:space="preserve"> </w:t>
      </w:r>
      <w:r w:rsidR="00DF5ABA">
        <w:rPr>
          <w:rFonts w:ascii="Times New Roman" w:hAnsi="Times New Roman"/>
          <w:sz w:val="20"/>
          <w:lang w:val="en-GB"/>
        </w:rPr>
        <w:t xml:space="preserve">where new cells with new </w:t>
      </w:r>
      <w:proofErr w:type="spellStart"/>
      <w:r w:rsidR="00DF5ABA">
        <w:rPr>
          <w:rFonts w:ascii="Times New Roman" w:hAnsi="Times New Roman"/>
          <w:sz w:val="20"/>
          <w:lang w:val="en-GB"/>
        </w:rPr>
        <w:t>CellIds</w:t>
      </w:r>
      <w:proofErr w:type="spellEnd"/>
      <w:r w:rsidR="00DF5ABA">
        <w:rPr>
          <w:rFonts w:ascii="Times New Roman" w:hAnsi="Times New Roman"/>
          <w:sz w:val="20"/>
          <w:lang w:val="en-GB"/>
        </w:rPr>
        <w:t xml:space="preserve"> and cell-specific reference signals (CRS) were represented by coverage configuration sets, </w:t>
      </w:r>
      <w:r w:rsidR="0051093B">
        <w:rPr>
          <w:rFonts w:ascii="Times New Roman" w:hAnsi="Times New Roman"/>
          <w:sz w:val="20"/>
          <w:lang w:val="en-GB"/>
        </w:rPr>
        <w:t xml:space="preserve">can therefore not be directly mapped to NR where coverage is based on SSB beams and capacity on CSI-RS beams. </w:t>
      </w:r>
    </w:p>
    <w:p w14:paraId="77804084" w14:textId="0E380084" w:rsidR="00391F23" w:rsidRDefault="00391F23" w:rsidP="00F54CB8">
      <w:pPr>
        <w:pStyle w:val="00BodyText"/>
        <w:spacing w:after="0"/>
        <w:rPr>
          <w:rFonts w:ascii="Times New Roman" w:hAnsi="Times New Roman"/>
          <w:sz w:val="20"/>
          <w:lang w:val="en-GB"/>
        </w:rPr>
      </w:pPr>
    </w:p>
    <w:p w14:paraId="15788579" w14:textId="32FBBF1D" w:rsidR="00391F23" w:rsidRDefault="00401661" w:rsidP="00F54CB8">
      <w:pPr>
        <w:pStyle w:val="00BodyText"/>
        <w:spacing w:after="0"/>
        <w:rPr>
          <w:rFonts w:ascii="Times New Roman" w:hAnsi="Times New Roman"/>
          <w:sz w:val="20"/>
          <w:lang w:val="en-GB"/>
        </w:rPr>
      </w:pPr>
      <w:r>
        <w:rPr>
          <w:rFonts w:ascii="Times New Roman" w:hAnsi="Times New Roman"/>
          <w:sz w:val="20"/>
          <w:lang w:val="en-GB"/>
        </w:rPr>
        <w:t>However</w:t>
      </w:r>
      <w:r w:rsidR="00DF5ABA">
        <w:rPr>
          <w:rFonts w:ascii="Times New Roman" w:hAnsi="Times New Roman"/>
          <w:sz w:val="20"/>
          <w:lang w:val="en-GB"/>
        </w:rPr>
        <w:t>,</w:t>
      </w:r>
      <w:r>
        <w:rPr>
          <w:rFonts w:ascii="Times New Roman" w:hAnsi="Times New Roman"/>
          <w:sz w:val="20"/>
          <w:lang w:val="en-GB"/>
        </w:rPr>
        <w:t xml:space="preserve"> we don't exclude that SON CCO support can be beneficial for NR </w:t>
      </w:r>
      <w:proofErr w:type="gramStart"/>
      <w:r>
        <w:rPr>
          <w:rFonts w:ascii="Times New Roman" w:hAnsi="Times New Roman"/>
          <w:sz w:val="20"/>
          <w:lang w:val="en-GB"/>
        </w:rPr>
        <w:t>in order to</w:t>
      </w:r>
      <w:proofErr w:type="gramEnd"/>
      <w:r>
        <w:rPr>
          <w:rFonts w:ascii="Times New Roman" w:hAnsi="Times New Roman"/>
          <w:sz w:val="20"/>
          <w:lang w:val="en-GB"/>
        </w:rPr>
        <w:t xml:space="preserve"> cope with:</w:t>
      </w:r>
    </w:p>
    <w:p w14:paraId="029EFFAD" w14:textId="288FBDAE" w:rsidR="00401661" w:rsidRDefault="00EF0573" w:rsidP="00401661">
      <w:pPr>
        <w:pStyle w:val="00BodyText"/>
        <w:numPr>
          <w:ilvl w:val="0"/>
          <w:numId w:val="7"/>
        </w:numPr>
        <w:spacing w:after="0"/>
        <w:rPr>
          <w:rFonts w:ascii="Times New Roman" w:hAnsi="Times New Roman"/>
          <w:sz w:val="20"/>
          <w:lang w:val="en-GB"/>
        </w:rPr>
      </w:pPr>
      <w:r>
        <w:rPr>
          <w:rFonts w:ascii="Times New Roman" w:hAnsi="Times New Roman"/>
          <w:sz w:val="20"/>
          <w:lang w:val="en-GB"/>
        </w:rPr>
        <w:t>Coverage elasticity for inter-cell interference and capacity optimization</w:t>
      </w:r>
      <w:r w:rsidR="006F4C9F">
        <w:rPr>
          <w:rFonts w:ascii="Times New Roman" w:hAnsi="Times New Roman"/>
          <w:sz w:val="20"/>
          <w:lang w:val="en-GB"/>
        </w:rPr>
        <w:t xml:space="preserve"> (including gNB-DU capacity)</w:t>
      </w:r>
      <w:r>
        <w:rPr>
          <w:rFonts w:ascii="Times New Roman" w:hAnsi="Times New Roman"/>
          <w:sz w:val="20"/>
          <w:lang w:val="en-GB"/>
        </w:rPr>
        <w:t xml:space="preserve">, respectively, on </w:t>
      </w:r>
      <w:r w:rsidR="006F4C9F">
        <w:rPr>
          <w:rFonts w:ascii="Times New Roman" w:hAnsi="Times New Roman"/>
          <w:sz w:val="20"/>
          <w:lang w:val="en-GB"/>
        </w:rPr>
        <w:t xml:space="preserve">CSI-RS beams carrying </w:t>
      </w:r>
      <w:r>
        <w:rPr>
          <w:rFonts w:ascii="Times New Roman" w:hAnsi="Times New Roman"/>
          <w:sz w:val="20"/>
          <w:lang w:val="en-GB"/>
        </w:rPr>
        <w:t xml:space="preserve">U-plane traffic. </w:t>
      </w:r>
    </w:p>
    <w:p w14:paraId="680A15B8" w14:textId="0BFF7ACA" w:rsidR="00401661" w:rsidRDefault="00401661" w:rsidP="00401661">
      <w:pPr>
        <w:pStyle w:val="00BodyText"/>
        <w:numPr>
          <w:ilvl w:val="0"/>
          <w:numId w:val="7"/>
        </w:numPr>
        <w:spacing w:after="0"/>
        <w:rPr>
          <w:rFonts w:ascii="Times New Roman" w:hAnsi="Times New Roman"/>
          <w:sz w:val="20"/>
          <w:lang w:val="en-GB"/>
        </w:rPr>
      </w:pPr>
      <w:r>
        <w:rPr>
          <w:rFonts w:ascii="Times New Roman" w:hAnsi="Times New Roman"/>
          <w:sz w:val="20"/>
          <w:lang w:val="en-GB"/>
        </w:rPr>
        <w:t xml:space="preserve">deployments where SSB beams and CSI-RS beams </w:t>
      </w:r>
      <w:r w:rsidRPr="00610CF7">
        <w:rPr>
          <w:rFonts w:ascii="Times New Roman" w:hAnsi="Times New Roman"/>
          <w:b/>
          <w:bCs/>
          <w:sz w:val="20"/>
          <w:lang w:val="en-GB"/>
        </w:rPr>
        <w:t>cannot</w:t>
      </w:r>
      <w:r>
        <w:rPr>
          <w:rFonts w:ascii="Times New Roman" w:hAnsi="Times New Roman"/>
          <w:sz w:val="20"/>
          <w:lang w:val="en-GB"/>
        </w:rPr>
        <w:t xml:space="preserve"> be </w:t>
      </w:r>
      <w:r w:rsidR="00A32859">
        <w:rPr>
          <w:rFonts w:ascii="Times New Roman" w:hAnsi="Times New Roman"/>
          <w:sz w:val="20"/>
          <w:lang w:val="en-GB"/>
        </w:rPr>
        <w:t xml:space="preserve">independently </w:t>
      </w:r>
      <w:r>
        <w:rPr>
          <w:rFonts w:ascii="Times New Roman" w:hAnsi="Times New Roman"/>
          <w:sz w:val="20"/>
          <w:lang w:val="en-GB"/>
        </w:rPr>
        <w:t>configured (due to e.g. limitations in the antenna system)</w:t>
      </w:r>
    </w:p>
    <w:p w14:paraId="4182C878" w14:textId="77777777" w:rsidR="00391F23" w:rsidRDefault="00391F23" w:rsidP="00F54CB8">
      <w:pPr>
        <w:pStyle w:val="00BodyText"/>
        <w:spacing w:after="0"/>
        <w:rPr>
          <w:rFonts w:ascii="Times New Roman" w:hAnsi="Times New Roman"/>
          <w:sz w:val="20"/>
          <w:lang w:val="en-GB"/>
        </w:rPr>
      </w:pPr>
    </w:p>
    <w:p w14:paraId="170E3B9F" w14:textId="7D124794" w:rsidR="00366A32" w:rsidRDefault="00610CF7" w:rsidP="00F54CB8">
      <w:pPr>
        <w:pStyle w:val="00BodyText"/>
        <w:spacing w:after="0"/>
        <w:rPr>
          <w:rFonts w:ascii="Times New Roman" w:hAnsi="Times New Roman"/>
          <w:sz w:val="20"/>
          <w:lang w:val="en-GB"/>
        </w:rPr>
      </w:pPr>
      <w:r>
        <w:rPr>
          <w:rFonts w:ascii="Times New Roman" w:hAnsi="Times New Roman"/>
          <w:sz w:val="20"/>
          <w:lang w:val="en-GB"/>
        </w:rPr>
        <w:t xml:space="preserve">RAN3 should therefore further discuss and clarify the use case for </w:t>
      </w:r>
      <w:r w:rsidRPr="00610CF7">
        <w:rPr>
          <w:rFonts w:ascii="Times New Roman" w:hAnsi="Times New Roman"/>
          <w:sz w:val="20"/>
          <w:lang w:val="en-GB"/>
        </w:rPr>
        <w:t>alternative coverage configurations</w:t>
      </w:r>
      <w:r>
        <w:rPr>
          <w:rFonts w:ascii="Times New Roman" w:hAnsi="Times New Roman"/>
          <w:sz w:val="20"/>
          <w:lang w:val="en-GB"/>
        </w:rPr>
        <w:t xml:space="preserve"> in NR</w:t>
      </w:r>
      <w:r w:rsidR="00401661">
        <w:rPr>
          <w:rFonts w:ascii="Times New Roman" w:hAnsi="Times New Roman"/>
          <w:sz w:val="20"/>
          <w:lang w:val="en-GB"/>
        </w:rPr>
        <w:t>.</w:t>
      </w:r>
    </w:p>
    <w:p w14:paraId="255133D9" w14:textId="373EC441" w:rsidR="00B9673B" w:rsidRDefault="00B9673B" w:rsidP="00F54CB8">
      <w:pPr>
        <w:pStyle w:val="00BodyText"/>
        <w:spacing w:after="0"/>
        <w:rPr>
          <w:rFonts w:ascii="Times New Roman" w:hAnsi="Times New Roman"/>
          <w:sz w:val="20"/>
          <w:lang w:val="en-GB"/>
        </w:rPr>
      </w:pPr>
    </w:p>
    <w:p w14:paraId="7DFBC2D5" w14:textId="71511F1F" w:rsidR="00B9673B" w:rsidRPr="00B9673B" w:rsidRDefault="00610CF7" w:rsidP="00F54CB8">
      <w:pPr>
        <w:pStyle w:val="00BodyText"/>
        <w:spacing w:after="0"/>
        <w:rPr>
          <w:rFonts w:ascii="Times New Roman" w:hAnsi="Times New Roman"/>
          <w:b/>
          <w:bCs/>
          <w:sz w:val="20"/>
          <w:lang w:val="en-GB"/>
        </w:rPr>
      </w:pPr>
      <w:r>
        <w:rPr>
          <w:rFonts w:ascii="Times New Roman" w:hAnsi="Times New Roman"/>
          <w:b/>
          <w:bCs/>
          <w:sz w:val="20"/>
          <w:lang w:val="en-GB"/>
        </w:rPr>
        <w:t>Proposal</w:t>
      </w:r>
      <w:r w:rsidR="00B9673B" w:rsidRPr="00B9673B">
        <w:rPr>
          <w:rFonts w:ascii="Times New Roman" w:hAnsi="Times New Roman"/>
          <w:b/>
          <w:bCs/>
          <w:sz w:val="20"/>
          <w:lang w:val="en-GB"/>
        </w:rPr>
        <w:t xml:space="preserve"> 1: </w:t>
      </w:r>
      <w:r>
        <w:rPr>
          <w:rFonts w:ascii="Times New Roman" w:hAnsi="Times New Roman"/>
          <w:b/>
          <w:bCs/>
          <w:sz w:val="20"/>
          <w:lang w:val="en-GB"/>
        </w:rPr>
        <w:t>RAN3 to confirm</w:t>
      </w:r>
      <w:r w:rsidR="00B9673B" w:rsidRPr="00B9673B">
        <w:rPr>
          <w:rFonts w:ascii="Times New Roman" w:hAnsi="Times New Roman"/>
          <w:b/>
          <w:bCs/>
          <w:sz w:val="20"/>
          <w:lang w:val="en-GB"/>
        </w:rPr>
        <w:t xml:space="preserve"> </w:t>
      </w:r>
      <w:r>
        <w:rPr>
          <w:rFonts w:ascii="Times New Roman" w:hAnsi="Times New Roman"/>
          <w:b/>
          <w:bCs/>
          <w:sz w:val="20"/>
          <w:lang w:val="en-GB"/>
        </w:rPr>
        <w:t>the use case</w:t>
      </w:r>
      <w:r w:rsidR="00263BC4">
        <w:rPr>
          <w:rFonts w:ascii="Times New Roman" w:hAnsi="Times New Roman"/>
          <w:b/>
          <w:bCs/>
          <w:sz w:val="20"/>
          <w:lang w:val="en-GB"/>
        </w:rPr>
        <w:t>(s)</w:t>
      </w:r>
      <w:r>
        <w:rPr>
          <w:rFonts w:ascii="Times New Roman" w:hAnsi="Times New Roman"/>
          <w:b/>
          <w:bCs/>
          <w:sz w:val="20"/>
          <w:lang w:val="en-GB"/>
        </w:rPr>
        <w:t xml:space="preserve"> </w:t>
      </w:r>
      <w:r w:rsidR="00263BC4">
        <w:rPr>
          <w:rFonts w:ascii="Times New Roman" w:hAnsi="Times New Roman"/>
          <w:b/>
          <w:bCs/>
          <w:sz w:val="20"/>
          <w:lang w:val="en-GB"/>
        </w:rPr>
        <w:t>for</w:t>
      </w:r>
      <w:r>
        <w:rPr>
          <w:rFonts w:ascii="Times New Roman" w:hAnsi="Times New Roman"/>
          <w:b/>
          <w:bCs/>
          <w:sz w:val="20"/>
          <w:lang w:val="en-GB"/>
        </w:rPr>
        <w:t xml:space="preserve"> </w:t>
      </w:r>
      <w:r w:rsidR="00B9673B" w:rsidRPr="00B9673B">
        <w:rPr>
          <w:rFonts w:ascii="Times New Roman" w:hAnsi="Times New Roman"/>
          <w:b/>
          <w:bCs/>
          <w:sz w:val="20"/>
          <w:lang w:val="en-GB"/>
        </w:rPr>
        <w:t>alternative coverage configurations in NR.</w:t>
      </w:r>
    </w:p>
    <w:p w14:paraId="06C3D572" w14:textId="77777777" w:rsidR="00366A32" w:rsidRDefault="00366A32" w:rsidP="00F54CB8">
      <w:pPr>
        <w:pStyle w:val="00BodyText"/>
        <w:spacing w:after="0"/>
        <w:rPr>
          <w:rFonts w:ascii="Times New Roman" w:hAnsi="Times New Roman"/>
          <w:sz w:val="20"/>
          <w:lang w:val="en-GB"/>
        </w:rPr>
      </w:pPr>
    </w:p>
    <w:p w14:paraId="75F074A3" w14:textId="70235600" w:rsidR="00F54CB8" w:rsidRDefault="00F54CB8" w:rsidP="00F54CB8">
      <w:pPr>
        <w:pStyle w:val="Heading2"/>
      </w:pPr>
      <w:r>
        <w:t>2.2</w:t>
      </w:r>
      <w:r>
        <w:tab/>
        <w:t>Issue 2</w:t>
      </w:r>
      <w:r>
        <w:tab/>
        <w:t xml:space="preserve"> </w:t>
      </w:r>
    </w:p>
    <w:p w14:paraId="24B77865" w14:textId="44E11637" w:rsidR="00F54CB8" w:rsidRDefault="00F54CB8" w:rsidP="00F54CB8">
      <w:pPr>
        <w:pStyle w:val="00BodyText"/>
        <w:spacing w:after="0"/>
        <w:rPr>
          <w:rFonts w:ascii="Times New Roman" w:hAnsi="Times New Roman"/>
          <w:sz w:val="20"/>
          <w:lang w:val="en-GB"/>
        </w:rPr>
      </w:pPr>
      <w:r w:rsidRPr="004B1EFE">
        <w:rPr>
          <w:rFonts w:ascii="Calibri" w:hAnsi="Calibri" w:cs="Calibri"/>
          <w:b/>
          <w:color w:val="0000FF"/>
          <w:sz w:val="18"/>
          <w:szCs w:val="24"/>
        </w:rPr>
        <w:t xml:space="preserve">If one node modifies the coverage of one or more cells, a neighbor node may also adjust the coverage of one or more cells. </w:t>
      </w:r>
      <w:proofErr w:type="gramStart"/>
      <w:r w:rsidRPr="004B1EFE">
        <w:rPr>
          <w:rFonts w:ascii="Calibri" w:hAnsi="Calibri" w:cs="Calibri"/>
          <w:b/>
          <w:color w:val="0000FF"/>
          <w:sz w:val="18"/>
          <w:szCs w:val="24"/>
        </w:rPr>
        <w:t>Is</w:t>
      </w:r>
      <w:proofErr w:type="gramEnd"/>
      <w:r w:rsidRPr="004B1EFE">
        <w:rPr>
          <w:rFonts w:ascii="Calibri" w:hAnsi="Calibri" w:cs="Calibri"/>
          <w:b/>
          <w:color w:val="0000FF"/>
          <w:sz w:val="18"/>
          <w:szCs w:val="24"/>
        </w:rPr>
        <w:t xml:space="preserve"> there any limitations e.g. that the node shall not reduce the aggregated coverage of his served cells? If not, is there any additional configuration from OAM needed to support this or are the involved nodes completely free to adjust (keeping in mind any limitations from Issue 1 above)?</w:t>
      </w:r>
    </w:p>
    <w:p w14:paraId="390DA790" w14:textId="77777777" w:rsidR="00F54CB8" w:rsidRDefault="00F54CB8" w:rsidP="00F54CB8">
      <w:pPr>
        <w:pStyle w:val="00BodyText"/>
        <w:spacing w:after="0"/>
        <w:rPr>
          <w:rFonts w:ascii="Times New Roman" w:hAnsi="Times New Roman"/>
          <w:sz w:val="20"/>
          <w:lang w:val="en-GB"/>
        </w:rPr>
      </w:pPr>
    </w:p>
    <w:p w14:paraId="743E28F0" w14:textId="271B1B9C" w:rsidR="00F33311" w:rsidRDefault="00974C84" w:rsidP="00F54CB8">
      <w:pPr>
        <w:pStyle w:val="00BodyText"/>
        <w:spacing w:after="0"/>
        <w:rPr>
          <w:rFonts w:ascii="Times New Roman" w:hAnsi="Times New Roman"/>
          <w:sz w:val="20"/>
          <w:lang w:val="en-GB"/>
        </w:rPr>
      </w:pPr>
      <w:r>
        <w:rPr>
          <w:rFonts w:ascii="Times New Roman" w:hAnsi="Times New Roman"/>
          <w:sz w:val="20"/>
          <w:lang w:val="en-GB"/>
        </w:rPr>
        <w:t xml:space="preserve">We believe that </w:t>
      </w:r>
      <w:r w:rsidR="00C92D9A">
        <w:rPr>
          <w:rFonts w:ascii="Times New Roman" w:hAnsi="Times New Roman"/>
          <w:sz w:val="20"/>
          <w:lang w:val="en-GB"/>
        </w:rPr>
        <w:t>reduction of coverage of</w:t>
      </w:r>
      <w:r>
        <w:rPr>
          <w:rFonts w:ascii="Times New Roman" w:hAnsi="Times New Roman"/>
          <w:sz w:val="20"/>
          <w:lang w:val="en-GB"/>
        </w:rPr>
        <w:t xml:space="preserve"> a node </w:t>
      </w:r>
      <w:r w:rsidR="00C92D9A">
        <w:rPr>
          <w:rFonts w:ascii="Times New Roman" w:hAnsi="Times New Roman"/>
          <w:sz w:val="20"/>
          <w:lang w:val="en-GB"/>
        </w:rPr>
        <w:t>will</w:t>
      </w:r>
      <w:r w:rsidR="006D074B">
        <w:rPr>
          <w:rFonts w:ascii="Times New Roman" w:hAnsi="Times New Roman"/>
          <w:sz w:val="20"/>
          <w:lang w:val="en-GB"/>
        </w:rPr>
        <w:t xml:space="preserve"> always come with the limitation that another node has to extend its coverage accordingly </w:t>
      </w:r>
      <w:proofErr w:type="gramStart"/>
      <w:r w:rsidR="006D074B">
        <w:rPr>
          <w:rFonts w:ascii="Times New Roman" w:hAnsi="Times New Roman"/>
          <w:sz w:val="20"/>
          <w:lang w:val="en-GB"/>
        </w:rPr>
        <w:t>in order to</w:t>
      </w:r>
      <w:proofErr w:type="gramEnd"/>
      <w:r w:rsidR="006D074B">
        <w:rPr>
          <w:rFonts w:ascii="Times New Roman" w:hAnsi="Times New Roman"/>
          <w:sz w:val="20"/>
          <w:lang w:val="en-GB"/>
        </w:rPr>
        <w:t xml:space="preserve"> avoid any coverage hole</w:t>
      </w:r>
      <w:r w:rsidR="005C36FA">
        <w:rPr>
          <w:rFonts w:ascii="Times New Roman" w:hAnsi="Times New Roman"/>
          <w:sz w:val="20"/>
          <w:lang w:val="en-GB"/>
        </w:rPr>
        <w:t>, so such requirement holds both for LTE and NR</w:t>
      </w:r>
      <w:r w:rsidR="006D074B">
        <w:rPr>
          <w:rFonts w:ascii="Times New Roman" w:hAnsi="Times New Roman"/>
          <w:sz w:val="20"/>
          <w:lang w:val="en-GB"/>
        </w:rPr>
        <w:t xml:space="preserve">. </w:t>
      </w:r>
      <w:r w:rsidR="005C36FA">
        <w:rPr>
          <w:rFonts w:ascii="Times New Roman" w:hAnsi="Times New Roman"/>
          <w:sz w:val="20"/>
          <w:lang w:val="en-GB"/>
        </w:rPr>
        <w:t>C</w:t>
      </w:r>
      <w:r w:rsidR="005C36FA" w:rsidRPr="00C92D9A">
        <w:rPr>
          <w:rFonts w:ascii="Times New Roman" w:hAnsi="Times New Roman"/>
          <w:sz w:val="20"/>
          <w:lang w:val="en-GB"/>
        </w:rPr>
        <w:t xml:space="preserve">hanging the number, size, </w:t>
      </w:r>
      <w:proofErr w:type="gramStart"/>
      <w:r w:rsidR="005C36FA" w:rsidRPr="00C92D9A">
        <w:rPr>
          <w:rFonts w:ascii="Times New Roman" w:hAnsi="Times New Roman"/>
          <w:sz w:val="20"/>
          <w:lang w:val="en-GB"/>
        </w:rPr>
        <w:t>tilts</w:t>
      </w:r>
      <w:proofErr w:type="gramEnd"/>
      <w:r w:rsidR="005C36FA" w:rsidRPr="00C92D9A">
        <w:rPr>
          <w:rFonts w:ascii="Times New Roman" w:hAnsi="Times New Roman"/>
          <w:sz w:val="20"/>
          <w:lang w:val="en-GB"/>
        </w:rPr>
        <w:t xml:space="preserve"> and azimuth </w:t>
      </w:r>
      <w:r w:rsidR="005C36FA">
        <w:rPr>
          <w:rFonts w:ascii="Times New Roman" w:hAnsi="Times New Roman"/>
          <w:sz w:val="20"/>
          <w:lang w:val="en-GB"/>
        </w:rPr>
        <w:t>of SSB beams</w:t>
      </w:r>
      <w:r w:rsidR="005C36FA" w:rsidRPr="00C92D9A">
        <w:rPr>
          <w:rFonts w:ascii="Times New Roman" w:hAnsi="Times New Roman"/>
          <w:sz w:val="20"/>
          <w:lang w:val="en-GB"/>
        </w:rPr>
        <w:t xml:space="preserve"> will unavoidably change cell coverage</w:t>
      </w:r>
      <w:r w:rsidR="00A32859">
        <w:rPr>
          <w:rFonts w:ascii="Times New Roman" w:hAnsi="Times New Roman"/>
          <w:sz w:val="20"/>
          <w:lang w:val="en-GB"/>
        </w:rPr>
        <w:t xml:space="preserve">. Following the scenario from issue#1 where SSB beams and CSI-RS beams are tightly coupled or even congruent, the coverage elasticity approach </w:t>
      </w:r>
      <w:r w:rsidR="00A32859">
        <w:rPr>
          <w:rFonts w:ascii="Times New Roman" w:hAnsi="Times New Roman"/>
          <w:sz w:val="20"/>
          <w:lang w:val="en-GB"/>
        </w:rPr>
        <w:lastRenderedPageBreak/>
        <w:t xml:space="preserve">can be used for  </w:t>
      </w:r>
      <w:r w:rsidR="00B61511">
        <w:rPr>
          <w:rFonts w:ascii="Times New Roman" w:hAnsi="Times New Roman"/>
          <w:sz w:val="20"/>
          <w:lang w:val="en-GB"/>
        </w:rPr>
        <w:t>capacity optimization</w:t>
      </w:r>
      <w:r w:rsidR="00A32859">
        <w:rPr>
          <w:rFonts w:ascii="Times New Roman" w:hAnsi="Times New Roman"/>
          <w:sz w:val="20"/>
          <w:lang w:val="en-GB"/>
        </w:rPr>
        <w:t xml:space="preserve">, which </w:t>
      </w:r>
      <w:r w:rsidR="00B61511">
        <w:rPr>
          <w:rFonts w:ascii="Times New Roman" w:hAnsi="Times New Roman"/>
          <w:sz w:val="20"/>
          <w:lang w:val="en-GB"/>
        </w:rPr>
        <w:t xml:space="preserve"> </w:t>
      </w:r>
      <w:r w:rsidR="005C36FA" w:rsidRPr="00E809EE">
        <w:rPr>
          <w:rFonts w:ascii="Times New Roman" w:hAnsi="Times New Roman"/>
          <w:sz w:val="20"/>
          <w:lang w:val="en-GB"/>
        </w:rPr>
        <w:t>should not be limited by borders to cells served by other nodes</w:t>
      </w:r>
      <w:r w:rsidR="00B61511">
        <w:rPr>
          <w:rFonts w:ascii="Times New Roman" w:hAnsi="Times New Roman"/>
          <w:sz w:val="20"/>
          <w:lang w:val="en-GB"/>
        </w:rPr>
        <w:t xml:space="preserve"> (en-gNB, gNB, gNB-DU)</w:t>
      </w:r>
      <w:r w:rsidR="005C36FA">
        <w:rPr>
          <w:rFonts w:ascii="Times New Roman" w:hAnsi="Times New Roman"/>
          <w:sz w:val="20"/>
          <w:lang w:val="en-GB"/>
        </w:rPr>
        <w:t xml:space="preserve">. </w:t>
      </w:r>
      <w:r w:rsidR="00E809EE">
        <w:rPr>
          <w:rFonts w:ascii="Times New Roman" w:hAnsi="Times New Roman"/>
          <w:sz w:val="20"/>
          <w:lang w:val="en-GB"/>
        </w:rPr>
        <w:t xml:space="preserve">This means that OAM </w:t>
      </w:r>
      <w:r w:rsidR="00610CF7">
        <w:rPr>
          <w:rFonts w:ascii="Times New Roman" w:hAnsi="Times New Roman"/>
          <w:sz w:val="20"/>
          <w:lang w:val="en-GB"/>
        </w:rPr>
        <w:t xml:space="preserve">in </w:t>
      </w:r>
      <w:r w:rsidR="005C36FA">
        <w:rPr>
          <w:rFonts w:ascii="Times New Roman" w:hAnsi="Times New Roman"/>
          <w:sz w:val="20"/>
          <w:lang w:val="en-GB"/>
        </w:rPr>
        <w:t>case of coverage modification of an NR cell or node controlling NR cells (</w:t>
      </w:r>
      <w:proofErr w:type="gramStart"/>
      <w:r w:rsidR="00B61511">
        <w:rPr>
          <w:rFonts w:ascii="Times New Roman" w:hAnsi="Times New Roman"/>
          <w:sz w:val="20"/>
          <w:lang w:val="en-GB"/>
        </w:rPr>
        <w:t xml:space="preserve">in particular </w:t>
      </w:r>
      <w:r w:rsidR="005C36FA">
        <w:rPr>
          <w:rFonts w:ascii="Times New Roman" w:hAnsi="Times New Roman"/>
          <w:sz w:val="20"/>
          <w:lang w:val="en-GB"/>
        </w:rPr>
        <w:t>en-gNB</w:t>
      </w:r>
      <w:proofErr w:type="gramEnd"/>
      <w:r w:rsidR="005C36FA">
        <w:rPr>
          <w:rFonts w:ascii="Times New Roman" w:hAnsi="Times New Roman"/>
          <w:sz w:val="20"/>
          <w:lang w:val="en-GB"/>
        </w:rPr>
        <w:t xml:space="preserve">, gNB) </w:t>
      </w:r>
      <w:r w:rsidR="00B61511">
        <w:rPr>
          <w:rFonts w:ascii="Times New Roman" w:hAnsi="Times New Roman"/>
          <w:sz w:val="20"/>
          <w:lang w:val="en-GB"/>
        </w:rPr>
        <w:t>will</w:t>
      </w:r>
      <w:r w:rsidR="005C36FA">
        <w:rPr>
          <w:rFonts w:ascii="Times New Roman" w:hAnsi="Times New Roman"/>
          <w:sz w:val="20"/>
          <w:lang w:val="en-GB"/>
        </w:rPr>
        <w:t xml:space="preserve"> have</w:t>
      </w:r>
      <w:r w:rsidR="00E809EE">
        <w:rPr>
          <w:rFonts w:ascii="Times New Roman" w:hAnsi="Times New Roman"/>
          <w:sz w:val="20"/>
          <w:lang w:val="en-GB"/>
        </w:rPr>
        <w:t xml:space="preserve"> to configure </w:t>
      </w:r>
      <w:r w:rsidR="005C36FA">
        <w:rPr>
          <w:rFonts w:ascii="Times New Roman" w:hAnsi="Times New Roman"/>
          <w:sz w:val="20"/>
          <w:lang w:val="en-GB"/>
        </w:rPr>
        <w:t xml:space="preserve">the </w:t>
      </w:r>
      <w:r w:rsidR="00E809EE">
        <w:rPr>
          <w:rFonts w:ascii="Times New Roman" w:hAnsi="Times New Roman"/>
          <w:sz w:val="20"/>
          <w:lang w:val="en-GB"/>
        </w:rPr>
        <w:t>allowed combinations</w:t>
      </w:r>
      <w:r w:rsidR="005C36FA">
        <w:rPr>
          <w:rFonts w:ascii="Times New Roman" w:hAnsi="Times New Roman"/>
          <w:sz w:val="20"/>
          <w:lang w:val="en-GB"/>
        </w:rPr>
        <w:t xml:space="preserve"> involving also the neighbour cells/nodes</w:t>
      </w:r>
      <w:r w:rsidR="00E809EE">
        <w:rPr>
          <w:rFonts w:ascii="Times New Roman" w:hAnsi="Times New Roman"/>
          <w:sz w:val="20"/>
          <w:lang w:val="en-GB"/>
        </w:rPr>
        <w:t xml:space="preserve">,. </w:t>
      </w:r>
    </w:p>
    <w:p w14:paraId="40DF3155" w14:textId="6E4D2CCD" w:rsidR="00F33311" w:rsidRDefault="00F33311" w:rsidP="00F54CB8">
      <w:pPr>
        <w:pStyle w:val="00BodyText"/>
        <w:spacing w:after="0"/>
        <w:rPr>
          <w:rFonts w:ascii="Times New Roman" w:hAnsi="Times New Roman"/>
          <w:sz w:val="20"/>
          <w:lang w:val="en-GB"/>
        </w:rPr>
      </w:pPr>
    </w:p>
    <w:p w14:paraId="250E48F7" w14:textId="3236EE1E" w:rsidR="00F33311" w:rsidRDefault="00AA5720" w:rsidP="00F54CB8">
      <w:pPr>
        <w:pStyle w:val="00BodyText"/>
        <w:spacing w:after="0"/>
        <w:rPr>
          <w:rFonts w:ascii="Times New Roman" w:hAnsi="Times New Roman"/>
          <w:sz w:val="20"/>
          <w:lang w:val="en-GB"/>
        </w:rPr>
      </w:pPr>
      <w:r>
        <w:rPr>
          <w:rFonts w:ascii="Times New Roman" w:hAnsi="Times New Roman"/>
          <w:sz w:val="20"/>
          <w:lang w:val="en-GB"/>
        </w:rPr>
        <w:t>For a</w:t>
      </w:r>
      <w:r w:rsidR="00F33311">
        <w:rPr>
          <w:rFonts w:ascii="Times New Roman" w:hAnsi="Times New Roman"/>
          <w:sz w:val="20"/>
          <w:lang w:val="en-GB"/>
        </w:rPr>
        <w:t xml:space="preserve"> split architecture</w:t>
      </w:r>
      <w:r>
        <w:rPr>
          <w:rFonts w:ascii="Times New Roman" w:hAnsi="Times New Roman"/>
          <w:sz w:val="20"/>
          <w:lang w:val="en-GB"/>
        </w:rPr>
        <w:t>,</w:t>
      </w:r>
      <w:r w:rsidR="00F33311">
        <w:rPr>
          <w:rFonts w:ascii="Times New Roman" w:hAnsi="Times New Roman"/>
          <w:sz w:val="20"/>
          <w:lang w:val="en-GB"/>
        </w:rPr>
        <w:t xml:space="preserve"> when it comes to inter-DU capacity optimization</w:t>
      </w:r>
      <w:r>
        <w:rPr>
          <w:rFonts w:ascii="Times New Roman" w:hAnsi="Times New Roman"/>
          <w:sz w:val="20"/>
          <w:lang w:val="en-GB"/>
        </w:rPr>
        <w:t xml:space="preserve"> by means of coverage elasticity</w:t>
      </w:r>
      <w:r w:rsidR="00F33311">
        <w:rPr>
          <w:rFonts w:ascii="Times New Roman" w:hAnsi="Times New Roman"/>
          <w:sz w:val="20"/>
          <w:lang w:val="en-GB"/>
        </w:rPr>
        <w:t xml:space="preserve">, </w:t>
      </w:r>
      <w:r>
        <w:rPr>
          <w:rFonts w:ascii="Times New Roman" w:hAnsi="Times New Roman"/>
          <w:sz w:val="20"/>
          <w:lang w:val="en-GB"/>
        </w:rPr>
        <w:t xml:space="preserve">gNB-CU can take the role to steer the concerted beam deployment changes </w:t>
      </w:r>
      <w:r w:rsidR="00F33311">
        <w:rPr>
          <w:rFonts w:ascii="Times New Roman" w:hAnsi="Times New Roman"/>
          <w:sz w:val="20"/>
          <w:lang w:val="en-GB"/>
        </w:rPr>
        <w:t>and may therefore not require the same degree of OAM involvement. As per earlier agreement, the initial coverage information is intended available in the gNB-CU:</w:t>
      </w:r>
    </w:p>
    <w:p w14:paraId="68B82AF4" w14:textId="77777777" w:rsidR="00F33311" w:rsidRDefault="00F33311" w:rsidP="00F33311">
      <w:pPr>
        <w:widowControl w:val="0"/>
        <w:rPr>
          <w:rFonts w:ascii="Calibri" w:hAnsi="Calibri" w:cs="Calibri"/>
          <w:iCs/>
          <w:color w:val="00B050"/>
          <w:sz w:val="16"/>
          <w:szCs w:val="16"/>
        </w:rPr>
      </w:pPr>
      <w:r>
        <w:rPr>
          <w:rFonts w:ascii="Calibri" w:hAnsi="Calibri" w:cs="Calibri"/>
          <w:iCs/>
          <w:color w:val="00B050"/>
          <w:sz w:val="16"/>
          <w:szCs w:val="16"/>
        </w:rPr>
        <w:t>DU signals to CU coverage related configuration information. Whether to include SSB beam information (on top of cell info) is FFS.</w:t>
      </w:r>
    </w:p>
    <w:p w14:paraId="4B5D06E2" w14:textId="74E99773" w:rsidR="00610CF7" w:rsidRDefault="00F33311" w:rsidP="00F54CB8">
      <w:pPr>
        <w:pStyle w:val="00BodyText"/>
        <w:spacing w:after="0"/>
        <w:rPr>
          <w:rFonts w:ascii="Times New Roman" w:hAnsi="Times New Roman"/>
          <w:sz w:val="20"/>
          <w:lang w:val="en-GB"/>
        </w:rPr>
      </w:pPr>
      <w:r>
        <w:rPr>
          <w:rFonts w:ascii="Times New Roman" w:hAnsi="Times New Roman"/>
          <w:sz w:val="20"/>
          <w:lang w:val="en-GB"/>
        </w:rPr>
        <w:t>I</w:t>
      </w:r>
      <w:r w:rsidR="00263BC4">
        <w:rPr>
          <w:rFonts w:ascii="Times New Roman" w:hAnsi="Times New Roman"/>
          <w:sz w:val="20"/>
          <w:lang w:val="en-GB"/>
        </w:rPr>
        <w:t xml:space="preserve">t appears </w:t>
      </w:r>
      <w:r>
        <w:rPr>
          <w:rFonts w:ascii="Times New Roman" w:hAnsi="Times New Roman"/>
          <w:sz w:val="20"/>
          <w:lang w:val="en-GB"/>
        </w:rPr>
        <w:t xml:space="preserve">therefore </w:t>
      </w:r>
      <w:r w:rsidR="00263BC4">
        <w:rPr>
          <w:rFonts w:ascii="Times New Roman" w:hAnsi="Times New Roman"/>
          <w:sz w:val="20"/>
          <w:lang w:val="en-GB"/>
        </w:rPr>
        <w:t xml:space="preserve">natural that the SON CCO features allows the </w:t>
      </w:r>
      <w:r w:rsidR="00B61511">
        <w:rPr>
          <w:rFonts w:ascii="Times New Roman" w:hAnsi="Times New Roman"/>
          <w:sz w:val="20"/>
          <w:lang w:val="en-GB"/>
        </w:rPr>
        <w:t>gNB-CU</w:t>
      </w:r>
      <w:r w:rsidR="00263BC4">
        <w:rPr>
          <w:rFonts w:ascii="Times New Roman" w:hAnsi="Times New Roman"/>
          <w:sz w:val="20"/>
          <w:lang w:val="en-GB"/>
        </w:rPr>
        <w:t xml:space="preserve"> to take the responsibility as coordinating node, as far as the overall OAM-defined geographical area covered by the gNB-CU is not modified.</w:t>
      </w:r>
    </w:p>
    <w:p w14:paraId="2F46E8CE" w14:textId="4E5DF1AE" w:rsidR="00F33311" w:rsidRDefault="00F33311" w:rsidP="00F54CB8">
      <w:pPr>
        <w:pStyle w:val="00BodyText"/>
        <w:spacing w:after="0"/>
        <w:rPr>
          <w:rFonts w:ascii="Times New Roman" w:hAnsi="Times New Roman"/>
          <w:sz w:val="20"/>
          <w:lang w:val="en-GB"/>
        </w:rPr>
      </w:pPr>
    </w:p>
    <w:p w14:paraId="7A161ACC" w14:textId="4C109A4A" w:rsidR="00610CF7" w:rsidRDefault="00610CF7" w:rsidP="00F54CB8">
      <w:pPr>
        <w:pStyle w:val="00BodyText"/>
        <w:spacing w:after="0"/>
        <w:rPr>
          <w:rFonts w:ascii="Times New Roman" w:hAnsi="Times New Roman"/>
          <w:b/>
          <w:bCs/>
          <w:sz w:val="20"/>
          <w:lang w:val="en-GB"/>
        </w:rPr>
      </w:pPr>
      <w:r w:rsidRPr="005C36FA">
        <w:rPr>
          <w:rFonts w:ascii="Times New Roman" w:hAnsi="Times New Roman"/>
          <w:b/>
          <w:bCs/>
          <w:sz w:val="20"/>
          <w:lang w:val="en-GB"/>
        </w:rPr>
        <w:t xml:space="preserve">Observation 1: </w:t>
      </w:r>
      <w:r w:rsidR="00AA5720">
        <w:rPr>
          <w:rFonts w:ascii="Times New Roman" w:hAnsi="Times New Roman"/>
          <w:b/>
          <w:bCs/>
          <w:sz w:val="20"/>
          <w:lang w:val="en-GB"/>
        </w:rPr>
        <w:t xml:space="preserve">For </w:t>
      </w:r>
      <w:r w:rsidR="00775104">
        <w:rPr>
          <w:rFonts w:ascii="Times New Roman" w:hAnsi="Times New Roman"/>
          <w:b/>
          <w:bCs/>
          <w:sz w:val="20"/>
          <w:lang w:val="en-GB"/>
        </w:rPr>
        <w:t xml:space="preserve">NR </w:t>
      </w:r>
      <w:r w:rsidR="00AA5720">
        <w:rPr>
          <w:rFonts w:ascii="Times New Roman" w:hAnsi="Times New Roman"/>
          <w:b/>
          <w:bCs/>
          <w:sz w:val="20"/>
          <w:lang w:val="en-GB"/>
        </w:rPr>
        <w:t xml:space="preserve">scenarios, where SSB beams and CSI-RS are tightly coupled, the coverage elasticity </w:t>
      </w:r>
      <w:r w:rsidR="005C36FA" w:rsidRPr="005C36FA">
        <w:rPr>
          <w:rFonts w:ascii="Times New Roman" w:hAnsi="Times New Roman"/>
          <w:b/>
          <w:bCs/>
          <w:sz w:val="20"/>
          <w:lang w:val="en-GB"/>
        </w:rPr>
        <w:t xml:space="preserve">requirement of coordinated coverage adjustments in neighbour </w:t>
      </w:r>
      <w:r w:rsidR="005C36FA">
        <w:rPr>
          <w:rFonts w:ascii="Times New Roman" w:hAnsi="Times New Roman"/>
          <w:b/>
          <w:bCs/>
          <w:sz w:val="20"/>
          <w:lang w:val="en-GB"/>
        </w:rPr>
        <w:t xml:space="preserve">cells and neighbour </w:t>
      </w:r>
      <w:r w:rsidR="005C36FA" w:rsidRPr="005C36FA">
        <w:rPr>
          <w:rFonts w:ascii="Times New Roman" w:hAnsi="Times New Roman"/>
          <w:b/>
          <w:bCs/>
          <w:sz w:val="20"/>
          <w:lang w:val="en-GB"/>
        </w:rPr>
        <w:t xml:space="preserve">nodes holds </w:t>
      </w:r>
      <w:r w:rsidR="00775104">
        <w:rPr>
          <w:rFonts w:ascii="Times New Roman" w:hAnsi="Times New Roman"/>
          <w:b/>
          <w:bCs/>
          <w:sz w:val="20"/>
          <w:lang w:val="en-GB"/>
        </w:rPr>
        <w:t>like</w:t>
      </w:r>
      <w:r w:rsidR="005C36FA" w:rsidRPr="005C36FA">
        <w:rPr>
          <w:rFonts w:ascii="Times New Roman" w:hAnsi="Times New Roman"/>
          <w:b/>
          <w:bCs/>
          <w:sz w:val="20"/>
          <w:lang w:val="en-GB"/>
        </w:rPr>
        <w:t xml:space="preserve"> </w:t>
      </w:r>
      <w:r w:rsidR="00775104">
        <w:rPr>
          <w:rFonts w:ascii="Times New Roman" w:hAnsi="Times New Roman"/>
          <w:b/>
          <w:bCs/>
          <w:sz w:val="20"/>
          <w:lang w:val="en-GB"/>
        </w:rPr>
        <w:t xml:space="preserve">for </w:t>
      </w:r>
      <w:r w:rsidR="005C36FA" w:rsidRPr="005C36FA">
        <w:rPr>
          <w:rFonts w:ascii="Times New Roman" w:hAnsi="Times New Roman"/>
          <w:b/>
          <w:bCs/>
          <w:sz w:val="20"/>
          <w:lang w:val="en-GB"/>
        </w:rPr>
        <w:t>LTE.</w:t>
      </w:r>
    </w:p>
    <w:p w14:paraId="58DD317B" w14:textId="38C03285" w:rsidR="00263BC4" w:rsidRDefault="00263BC4" w:rsidP="00F54CB8">
      <w:pPr>
        <w:pStyle w:val="00BodyText"/>
        <w:spacing w:after="0"/>
        <w:rPr>
          <w:rFonts w:ascii="Times New Roman" w:hAnsi="Times New Roman"/>
          <w:b/>
          <w:bCs/>
          <w:sz w:val="20"/>
          <w:lang w:val="en-GB"/>
        </w:rPr>
      </w:pPr>
    </w:p>
    <w:p w14:paraId="5CDD066B" w14:textId="6430C2A6" w:rsidR="00263BC4" w:rsidRDefault="00263BC4" w:rsidP="00263BC4">
      <w:pPr>
        <w:pStyle w:val="00BodyText"/>
        <w:spacing w:after="0"/>
        <w:rPr>
          <w:rFonts w:ascii="Times New Roman" w:hAnsi="Times New Roman"/>
          <w:b/>
          <w:bCs/>
          <w:sz w:val="20"/>
          <w:lang w:val="en-GB"/>
        </w:rPr>
      </w:pPr>
      <w:r w:rsidRPr="005C36FA">
        <w:rPr>
          <w:rFonts w:ascii="Times New Roman" w:hAnsi="Times New Roman"/>
          <w:b/>
          <w:bCs/>
          <w:sz w:val="20"/>
          <w:lang w:val="en-GB"/>
        </w:rPr>
        <w:t xml:space="preserve">Proposal </w:t>
      </w:r>
      <w:r>
        <w:rPr>
          <w:rFonts w:ascii="Times New Roman" w:hAnsi="Times New Roman"/>
          <w:b/>
          <w:bCs/>
          <w:sz w:val="20"/>
          <w:lang w:val="en-GB"/>
        </w:rPr>
        <w:t>2</w:t>
      </w:r>
      <w:r w:rsidRPr="005C36FA">
        <w:rPr>
          <w:rFonts w:ascii="Times New Roman" w:hAnsi="Times New Roman"/>
          <w:b/>
          <w:bCs/>
          <w:sz w:val="20"/>
          <w:lang w:val="en-GB"/>
        </w:rPr>
        <w:t xml:space="preserve">: </w:t>
      </w:r>
      <w:r>
        <w:rPr>
          <w:rFonts w:ascii="Times New Roman" w:hAnsi="Times New Roman"/>
          <w:b/>
          <w:bCs/>
          <w:sz w:val="20"/>
          <w:lang w:val="en-GB"/>
        </w:rPr>
        <w:t xml:space="preserve">For NR, </w:t>
      </w:r>
      <w:r w:rsidR="00775104">
        <w:rPr>
          <w:rFonts w:ascii="Times New Roman" w:hAnsi="Times New Roman"/>
          <w:b/>
          <w:bCs/>
          <w:sz w:val="20"/>
          <w:lang w:val="en-GB"/>
        </w:rPr>
        <w:t xml:space="preserve">a central entity (e.g. in </w:t>
      </w:r>
      <w:r w:rsidRPr="005C36FA">
        <w:rPr>
          <w:rFonts w:ascii="Times New Roman" w:hAnsi="Times New Roman"/>
          <w:b/>
          <w:bCs/>
          <w:sz w:val="20"/>
          <w:lang w:val="en-GB"/>
        </w:rPr>
        <w:t>OAM</w:t>
      </w:r>
      <w:r w:rsidR="00775104">
        <w:rPr>
          <w:rFonts w:ascii="Times New Roman" w:hAnsi="Times New Roman"/>
          <w:b/>
          <w:bCs/>
          <w:sz w:val="20"/>
          <w:lang w:val="en-GB"/>
        </w:rPr>
        <w:t xml:space="preserve"> domain)</w:t>
      </w:r>
      <w:r w:rsidRPr="005C36FA">
        <w:rPr>
          <w:rFonts w:ascii="Times New Roman" w:hAnsi="Times New Roman"/>
          <w:b/>
          <w:bCs/>
          <w:sz w:val="20"/>
          <w:lang w:val="en-GB"/>
        </w:rPr>
        <w:t xml:space="preserve"> </w:t>
      </w:r>
      <w:proofErr w:type="gramStart"/>
      <w:r>
        <w:rPr>
          <w:rFonts w:ascii="Times New Roman" w:hAnsi="Times New Roman"/>
          <w:b/>
          <w:bCs/>
          <w:sz w:val="20"/>
          <w:lang w:val="en-GB"/>
        </w:rPr>
        <w:t>is in charge of</w:t>
      </w:r>
      <w:proofErr w:type="gramEnd"/>
      <w:r>
        <w:rPr>
          <w:rFonts w:ascii="Times New Roman" w:hAnsi="Times New Roman"/>
          <w:b/>
          <w:bCs/>
          <w:sz w:val="20"/>
          <w:lang w:val="en-GB"/>
        </w:rPr>
        <w:t xml:space="preserve"> </w:t>
      </w:r>
      <w:proofErr w:type="spellStart"/>
      <w:r w:rsidR="00775104">
        <w:rPr>
          <w:rFonts w:ascii="Times New Roman" w:hAnsi="Times New Roman"/>
          <w:b/>
          <w:bCs/>
          <w:sz w:val="20"/>
          <w:lang w:val="en-GB"/>
        </w:rPr>
        <w:t>of</w:t>
      </w:r>
      <w:proofErr w:type="spellEnd"/>
      <w:r w:rsidR="00775104">
        <w:rPr>
          <w:rFonts w:ascii="Times New Roman" w:hAnsi="Times New Roman"/>
          <w:b/>
          <w:bCs/>
          <w:sz w:val="20"/>
          <w:lang w:val="en-GB"/>
        </w:rPr>
        <w:t xml:space="preserve"> concerted</w:t>
      </w:r>
      <w:r w:rsidRPr="005C36FA">
        <w:rPr>
          <w:rFonts w:ascii="Times New Roman" w:hAnsi="Times New Roman"/>
          <w:b/>
          <w:bCs/>
          <w:sz w:val="20"/>
          <w:lang w:val="en-GB"/>
        </w:rPr>
        <w:t xml:space="preserve"> </w:t>
      </w:r>
      <w:r>
        <w:rPr>
          <w:rFonts w:ascii="Times New Roman" w:hAnsi="Times New Roman"/>
          <w:b/>
          <w:bCs/>
          <w:sz w:val="20"/>
          <w:lang w:val="en-GB"/>
        </w:rPr>
        <w:t xml:space="preserve">coverage </w:t>
      </w:r>
      <w:r w:rsidRPr="005C36FA">
        <w:rPr>
          <w:rFonts w:ascii="Times New Roman" w:hAnsi="Times New Roman"/>
          <w:b/>
          <w:bCs/>
          <w:sz w:val="20"/>
          <w:lang w:val="en-GB"/>
        </w:rPr>
        <w:t xml:space="preserve">combinations </w:t>
      </w:r>
      <w:r w:rsidR="00775104">
        <w:rPr>
          <w:rFonts w:ascii="Times New Roman" w:hAnsi="Times New Roman"/>
          <w:b/>
          <w:bCs/>
          <w:sz w:val="20"/>
          <w:lang w:val="en-GB"/>
        </w:rPr>
        <w:t xml:space="preserve">among </w:t>
      </w:r>
      <w:r>
        <w:rPr>
          <w:rFonts w:ascii="Times New Roman" w:hAnsi="Times New Roman"/>
          <w:b/>
          <w:bCs/>
          <w:sz w:val="20"/>
          <w:lang w:val="en-GB"/>
        </w:rPr>
        <w:t xml:space="preserve">neighbour </w:t>
      </w:r>
      <w:proofErr w:type="spellStart"/>
      <w:r>
        <w:rPr>
          <w:rFonts w:ascii="Times New Roman" w:hAnsi="Times New Roman"/>
          <w:b/>
          <w:bCs/>
          <w:sz w:val="20"/>
          <w:lang w:val="en-GB"/>
        </w:rPr>
        <w:t>gNBs</w:t>
      </w:r>
      <w:proofErr w:type="spellEnd"/>
      <w:r w:rsidR="00F33311">
        <w:rPr>
          <w:rFonts w:ascii="Times New Roman" w:hAnsi="Times New Roman"/>
          <w:b/>
          <w:bCs/>
          <w:sz w:val="20"/>
          <w:lang w:val="en-GB"/>
        </w:rPr>
        <w:t xml:space="preserve"> and </w:t>
      </w:r>
      <w:r>
        <w:rPr>
          <w:rFonts w:ascii="Times New Roman" w:hAnsi="Times New Roman"/>
          <w:b/>
          <w:bCs/>
          <w:sz w:val="20"/>
          <w:lang w:val="en-GB"/>
        </w:rPr>
        <w:t>en-</w:t>
      </w:r>
      <w:proofErr w:type="spellStart"/>
      <w:r>
        <w:rPr>
          <w:rFonts w:ascii="Times New Roman" w:hAnsi="Times New Roman"/>
          <w:b/>
          <w:bCs/>
          <w:sz w:val="20"/>
          <w:lang w:val="en-GB"/>
        </w:rPr>
        <w:t>gNBs</w:t>
      </w:r>
      <w:proofErr w:type="spellEnd"/>
      <w:r>
        <w:rPr>
          <w:rFonts w:ascii="Times New Roman" w:hAnsi="Times New Roman"/>
          <w:b/>
          <w:bCs/>
          <w:sz w:val="20"/>
          <w:lang w:val="en-GB"/>
        </w:rPr>
        <w:t>.</w:t>
      </w:r>
    </w:p>
    <w:p w14:paraId="52A21FD4" w14:textId="77777777" w:rsidR="00263BC4" w:rsidRDefault="00263BC4" w:rsidP="00263BC4">
      <w:pPr>
        <w:pStyle w:val="00BodyText"/>
        <w:spacing w:after="0"/>
        <w:rPr>
          <w:rFonts w:ascii="Times New Roman" w:hAnsi="Times New Roman"/>
          <w:b/>
          <w:bCs/>
          <w:sz w:val="20"/>
          <w:lang w:val="en-GB"/>
        </w:rPr>
      </w:pPr>
    </w:p>
    <w:p w14:paraId="3F57CE60" w14:textId="3DA84155" w:rsidR="00610CF7" w:rsidRDefault="00263BC4" w:rsidP="00F54CB8">
      <w:pPr>
        <w:pStyle w:val="00BodyText"/>
        <w:spacing w:after="0"/>
        <w:rPr>
          <w:rFonts w:ascii="Times New Roman" w:hAnsi="Times New Roman"/>
          <w:sz w:val="20"/>
          <w:lang w:val="en-GB"/>
        </w:rPr>
      </w:pPr>
      <w:r w:rsidRPr="00E53E21">
        <w:rPr>
          <w:rFonts w:ascii="Times New Roman" w:hAnsi="Times New Roman"/>
          <w:b/>
          <w:bCs/>
          <w:sz w:val="20"/>
          <w:lang w:val="en-GB"/>
        </w:rPr>
        <w:t xml:space="preserve">Proposal 3: The gNB-CU </w:t>
      </w:r>
      <w:r w:rsidR="00775104">
        <w:rPr>
          <w:rFonts w:ascii="Times New Roman" w:hAnsi="Times New Roman"/>
          <w:b/>
          <w:bCs/>
          <w:sz w:val="20"/>
          <w:lang w:val="en-GB"/>
        </w:rPr>
        <w:t>can take</w:t>
      </w:r>
      <w:r w:rsidR="00775104" w:rsidRPr="00E53E21">
        <w:rPr>
          <w:rFonts w:ascii="Times New Roman" w:hAnsi="Times New Roman"/>
          <w:b/>
          <w:bCs/>
          <w:sz w:val="20"/>
          <w:lang w:val="en-GB"/>
        </w:rPr>
        <w:t xml:space="preserve"> </w:t>
      </w:r>
      <w:r w:rsidRPr="00E53E21">
        <w:rPr>
          <w:rFonts w:ascii="Times New Roman" w:hAnsi="Times New Roman"/>
          <w:b/>
          <w:bCs/>
          <w:sz w:val="20"/>
          <w:lang w:val="en-GB"/>
        </w:rPr>
        <w:t xml:space="preserve">the responsibility as coordinating node for inter-gNB-DU coverage modifications for the purpose of capacity optimization, within </w:t>
      </w:r>
      <w:r w:rsidR="00E53E21" w:rsidRPr="00E53E21">
        <w:rPr>
          <w:rFonts w:ascii="Times New Roman" w:hAnsi="Times New Roman"/>
          <w:b/>
          <w:bCs/>
          <w:sz w:val="20"/>
          <w:lang w:val="en-GB"/>
        </w:rPr>
        <w:t>the limit of the overall OAM-defined geographical area covered by the gNB-CU.</w:t>
      </w:r>
    </w:p>
    <w:p w14:paraId="15C65D28" w14:textId="2E8D9757" w:rsidR="00F54CB8" w:rsidRDefault="00F54CB8" w:rsidP="00F54CB8">
      <w:pPr>
        <w:pStyle w:val="00BodyText"/>
        <w:spacing w:after="0"/>
        <w:rPr>
          <w:rFonts w:ascii="Times New Roman" w:hAnsi="Times New Roman"/>
          <w:sz w:val="20"/>
          <w:lang w:val="en-GB"/>
        </w:rPr>
      </w:pPr>
    </w:p>
    <w:p w14:paraId="5369AA83" w14:textId="3563A3A1" w:rsidR="00F54CB8" w:rsidRDefault="00F54CB8" w:rsidP="00F54CB8">
      <w:pPr>
        <w:pStyle w:val="Heading2"/>
      </w:pPr>
      <w:r>
        <w:t>2.3</w:t>
      </w:r>
      <w:r>
        <w:tab/>
        <w:t>Issue 3</w:t>
      </w:r>
      <w:r>
        <w:tab/>
        <w:t xml:space="preserve"> </w:t>
      </w:r>
    </w:p>
    <w:p w14:paraId="17BF369D" w14:textId="7F112FBD" w:rsidR="00F54CB8" w:rsidRDefault="00F54CB8" w:rsidP="00F54CB8">
      <w:pPr>
        <w:pStyle w:val="00BodyText"/>
        <w:spacing w:after="0"/>
        <w:rPr>
          <w:rFonts w:ascii="Times New Roman" w:hAnsi="Times New Roman"/>
          <w:sz w:val="20"/>
          <w:lang w:val="en-GB"/>
        </w:rPr>
      </w:pPr>
      <w:r w:rsidRPr="004B1EFE">
        <w:rPr>
          <w:rFonts w:ascii="Calibri" w:hAnsi="Calibri" w:cs="Calibri"/>
          <w:b/>
          <w:color w:val="0000FF"/>
          <w:sz w:val="18"/>
          <w:szCs w:val="24"/>
        </w:rPr>
        <w:t xml:space="preserve">For F1, the CU is providing assistance information to the DU and the DU makes the final decision on which coverage configuration to use (since the DU is the only one who knows the resource situation), but is the CU to be involved by </w:t>
      </w:r>
      <w:proofErr w:type="spellStart"/>
      <w:r w:rsidRPr="004B1EFE">
        <w:rPr>
          <w:rFonts w:ascii="Calibri" w:hAnsi="Calibri" w:cs="Calibri"/>
          <w:b/>
          <w:color w:val="0000FF"/>
          <w:sz w:val="18"/>
          <w:szCs w:val="24"/>
        </w:rPr>
        <w:t>e.g</w:t>
      </w:r>
      <w:proofErr w:type="spellEnd"/>
      <w:r w:rsidRPr="004B1EFE">
        <w:rPr>
          <w:rFonts w:ascii="Calibri" w:hAnsi="Calibri" w:cs="Calibri"/>
          <w:b/>
          <w:color w:val="0000FF"/>
          <w:sz w:val="18"/>
          <w:szCs w:val="24"/>
        </w:rPr>
        <w:t>, proposing/deciding coverage configurations to the gNB DU?</w:t>
      </w:r>
    </w:p>
    <w:p w14:paraId="514BF656" w14:textId="77777777" w:rsidR="00F54CB8" w:rsidRDefault="00F54CB8" w:rsidP="00F54CB8">
      <w:pPr>
        <w:pStyle w:val="00BodyText"/>
        <w:spacing w:after="0"/>
        <w:rPr>
          <w:rFonts w:ascii="Times New Roman" w:hAnsi="Times New Roman"/>
          <w:sz w:val="20"/>
          <w:lang w:val="en-GB"/>
        </w:rPr>
      </w:pPr>
    </w:p>
    <w:p w14:paraId="118BCB1B" w14:textId="543AA92D" w:rsidR="00954713" w:rsidRDefault="00F33311" w:rsidP="00F54CB8">
      <w:pPr>
        <w:pStyle w:val="00BodyText"/>
        <w:spacing w:after="0"/>
        <w:rPr>
          <w:rFonts w:ascii="Times New Roman" w:hAnsi="Times New Roman"/>
          <w:sz w:val="20"/>
          <w:lang w:val="en-GB"/>
        </w:rPr>
      </w:pPr>
      <w:r>
        <w:rPr>
          <w:rFonts w:ascii="Times New Roman" w:hAnsi="Times New Roman"/>
          <w:sz w:val="20"/>
          <w:lang w:val="en-GB"/>
        </w:rPr>
        <w:t xml:space="preserve">Final decision in the DU as described above is a working assumption </w:t>
      </w:r>
      <w:r w:rsidR="00954713">
        <w:rPr>
          <w:rFonts w:ascii="Times New Roman" w:hAnsi="Times New Roman"/>
          <w:sz w:val="20"/>
          <w:lang w:val="en-GB"/>
        </w:rPr>
        <w:t xml:space="preserve">from previous meeting </w:t>
      </w:r>
      <w:r>
        <w:rPr>
          <w:rFonts w:ascii="Times New Roman" w:hAnsi="Times New Roman"/>
          <w:sz w:val="20"/>
          <w:lang w:val="en-GB"/>
        </w:rPr>
        <w:t>and not yet an agreement</w:t>
      </w:r>
      <w:r w:rsidR="00954713">
        <w:rPr>
          <w:rFonts w:ascii="Times New Roman" w:hAnsi="Times New Roman"/>
          <w:sz w:val="20"/>
          <w:lang w:val="en-GB"/>
        </w:rPr>
        <w:t>:</w:t>
      </w:r>
    </w:p>
    <w:p w14:paraId="200E18AE" w14:textId="77777777" w:rsidR="00954713" w:rsidRDefault="00954713" w:rsidP="00954713">
      <w:pPr>
        <w:widowControl w:val="0"/>
        <w:rPr>
          <w:rFonts w:eastAsia="SimSun"/>
          <w:color w:val="00B050"/>
          <w:sz w:val="16"/>
          <w:szCs w:val="16"/>
          <w:lang w:eastAsia="zh-CN"/>
        </w:rPr>
      </w:pPr>
      <w:r>
        <w:rPr>
          <w:rFonts w:ascii="Calibri" w:hAnsi="Calibri" w:cs="Calibri"/>
          <w:iCs/>
          <w:color w:val="00B050"/>
          <w:sz w:val="16"/>
          <w:szCs w:val="16"/>
        </w:rPr>
        <w:t>WA: DU makes the final decision on which coverage configuration to use (since the DU is the only one who knows the resource situation)</w:t>
      </w:r>
    </w:p>
    <w:p w14:paraId="1D9EE267" w14:textId="762EFC5B" w:rsidR="00F54CB8" w:rsidRDefault="00954713" w:rsidP="00F54CB8">
      <w:pPr>
        <w:pStyle w:val="00BodyText"/>
        <w:spacing w:after="0"/>
        <w:rPr>
          <w:rFonts w:ascii="Times New Roman" w:hAnsi="Times New Roman"/>
          <w:sz w:val="20"/>
          <w:lang w:val="en-GB"/>
        </w:rPr>
      </w:pPr>
      <w:r>
        <w:rPr>
          <w:rFonts w:ascii="Times New Roman" w:hAnsi="Times New Roman"/>
          <w:sz w:val="20"/>
          <w:lang w:val="en-GB"/>
        </w:rPr>
        <w:t>However, as per the discussion under issue 2, it is important to avoid the creation of coverage holes, which means that there is need for an entity that ensures that only allowed configuration combinations are applied in neighbour nodes. In practice the available options are either the OAM or the gNB-CU, and as per our proposal 3 above we believe the gNB-CU should have this role. Also, information local to the gNB-CU in combination with load reporting on F1 ensures a sufficient view of the load situation per DU in the gNB-CU.</w:t>
      </w:r>
    </w:p>
    <w:p w14:paraId="026262BC" w14:textId="1372852A" w:rsidR="00954713" w:rsidRDefault="00954713" w:rsidP="00F54CB8">
      <w:pPr>
        <w:pStyle w:val="00BodyText"/>
        <w:spacing w:after="0"/>
        <w:rPr>
          <w:rFonts w:ascii="Times New Roman" w:hAnsi="Times New Roman"/>
          <w:sz w:val="20"/>
          <w:lang w:val="en-GB"/>
        </w:rPr>
      </w:pPr>
    </w:p>
    <w:p w14:paraId="2B6B5EF3" w14:textId="77C98873" w:rsidR="00954713" w:rsidRPr="00954713" w:rsidRDefault="00954713" w:rsidP="00F54CB8">
      <w:pPr>
        <w:pStyle w:val="00BodyText"/>
        <w:spacing w:after="0"/>
        <w:rPr>
          <w:rFonts w:ascii="Times New Roman" w:hAnsi="Times New Roman"/>
          <w:b/>
          <w:bCs/>
          <w:sz w:val="20"/>
          <w:lang w:val="en-GB"/>
        </w:rPr>
      </w:pPr>
      <w:r w:rsidRPr="00954713">
        <w:rPr>
          <w:rFonts w:ascii="Times New Roman" w:hAnsi="Times New Roman"/>
          <w:b/>
          <w:bCs/>
          <w:sz w:val="20"/>
          <w:lang w:val="en-GB"/>
        </w:rPr>
        <w:t>Proposal 4: The gNB-CU makes the final decision on the coverage configuration to use (revert working assumption)</w:t>
      </w:r>
      <w:r w:rsidR="004A4CB8">
        <w:rPr>
          <w:rFonts w:ascii="Times New Roman" w:hAnsi="Times New Roman"/>
          <w:b/>
          <w:bCs/>
          <w:sz w:val="20"/>
          <w:lang w:val="en-GB"/>
        </w:rPr>
        <w:t>.</w:t>
      </w:r>
    </w:p>
    <w:p w14:paraId="667B93F2" w14:textId="2DE79144" w:rsidR="00954713" w:rsidRDefault="00954713" w:rsidP="00F54CB8">
      <w:pPr>
        <w:pStyle w:val="00BodyText"/>
        <w:spacing w:after="0"/>
        <w:rPr>
          <w:rFonts w:ascii="Times New Roman" w:hAnsi="Times New Roman"/>
          <w:sz w:val="20"/>
          <w:lang w:val="en-GB"/>
        </w:rPr>
      </w:pPr>
    </w:p>
    <w:p w14:paraId="27BCBC31" w14:textId="6C9983F8" w:rsidR="00954713" w:rsidRDefault="00954713" w:rsidP="00F54CB8">
      <w:pPr>
        <w:pStyle w:val="00BodyText"/>
        <w:spacing w:after="0"/>
        <w:rPr>
          <w:rFonts w:ascii="Times New Roman" w:hAnsi="Times New Roman"/>
          <w:sz w:val="20"/>
          <w:lang w:val="en-GB"/>
        </w:rPr>
      </w:pPr>
      <w:r>
        <w:rPr>
          <w:rFonts w:ascii="Times New Roman" w:hAnsi="Times New Roman"/>
          <w:sz w:val="20"/>
          <w:lang w:val="en-GB"/>
        </w:rPr>
        <w:t xml:space="preserve">We still believe that for the purpose of stepwise introduction of the NR CCO feature, it will be sufficient in Rel-17 to support </w:t>
      </w:r>
      <w:r w:rsidR="00BA65AB">
        <w:rPr>
          <w:rFonts w:ascii="Times New Roman" w:hAnsi="Times New Roman"/>
          <w:sz w:val="20"/>
          <w:lang w:val="en-GB"/>
        </w:rPr>
        <w:t xml:space="preserve">simplified </w:t>
      </w:r>
      <w:r w:rsidR="00476877">
        <w:rPr>
          <w:rFonts w:ascii="Times New Roman" w:hAnsi="Times New Roman"/>
          <w:sz w:val="20"/>
          <w:lang w:val="en-GB"/>
        </w:rPr>
        <w:t>F1AP signalling based on OAM-defined configuration</w:t>
      </w:r>
      <w:r w:rsidR="00BA65AB">
        <w:rPr>
          <w:rFonts w:ascii="Times New Roman" w:hAnsi="Times New Roman"/>
          <w:sz w:val="20"/>
          <w:lang w:val="en-GB"/>
        </w:rPr>
        <w:t xml:space="preserve"> options.</w:t>
      </w:r>
    </w:p>
    <w:p w14:paraId="5868B0F6" w14:textId="4359AE8D" w:rsidR="00BA65AB" w:rsidRDefault="00BA65AB" w:rsidP="00F54CB8">
      <w:pPr>
        <w:pStyle w:val="00BodyText"/>
        <w:spacing w:after="0"/>
        <w:rPr>
          <w:rFonts w:ascii="Times New Roman" w:hAnsi="Times New Roman"/>
          <w:sz w:val="20"/>
          <w:lang w:val="en-GB"/>
        </w:rPr>
      </w:pPr>
    </w:p>
    <w:p w14:paraId="628A2140" w14:textId="59E07AE4" w:rsidR="00BA65AB" w:rsidRPr="00BA65AB" w:rsidRDefault="00BA65AB" w:rsidP="00F54CB8">
      <w:pPr>
        <w:pStyle w:val="00BodyText"/>
        <w:spacing w:after="0"/>
        <w:rPr>
          <w:rFonts w:ascii="Times New Roman" w:hAnsi="Times New Roman"/>
          <w:b/>
          <w:bCs/>
          <w:sz w:val="20"/>
          <w:lang w:val="en-GB"/>
        </w:rPr>
      </w:pPr>
      <w:r w:rsidRPr="00BA65AB">
        <w:rPr>
          <w:rFonts w:ascii="Times New Roman" w:hAnsi="Times New Roman"/>
          <w:b/>
          <w:bCs/>
          <w:sz w:val="20"/>
          <w:lang w:val="en-GB"/>
        </w:rPr>
        <w:t>Proposal 5: Simplified F1AP signalling based on OAM-defined configuration options is sufficient for Rel-17 NR CCO.</w:t>
      </w:r>
    </w:p>
    <w:p w14:paraId="3517216A" w14:textId="77777777" w:rsidR="00F54CB8" w:rsidRPr="00972FD7" w:rsidRDefault="00F54CB8" w:rsidP="00F54CB8">
      <w:pPr>
        <w:pStyle w:val="00BodyText"/>
        <w:spacing w:after="0"/>
        <w:rPr>
          <w:rFonts w:ascii="Times New Roman" w:hAnsi="Times New Roman"/>
          <w:sz w:val="20"/>
          <w:lang w:val="en-GB"/>
        </w:rPr>
      </w:pPr>
    </w:p>
    <w:p w14:paraId="0D110258" w14:textId="77777777" w:rsidR="00CD4C7B" w:rsidRPr="006E13D1" w:rsidRDefault="00972FD7" w:rsidP="00CD4C7B">
      <w:pPr>
        <w:pStyle w:val="Heading1"/>
      </w:pPr>
      <w:r>
        <w:t>3</w:t>
      </w:r>
      <w:r w:rsidR="00CD4C7B" w:rsidRPr="006E13D1">
        <w:tab/>
      </w:r>
      <w:r>
        <w:t>Conclusion</w:t>
      </w:r>
    </w:p>
    <w:p w14:paraId="249E969D" w14:textId="639D99AF" w:rsidR="004A4CB8" w:rsidRDefault="004A4CB8" w:rsidP="004A4CB8">
      <w:pPr>
        <w:pStyle w:val="00BodyText"/>
        <w:spacing w:after="0"/>
        <w:rPr>
          <w:rFonts w:ascii="Times New Roman" w:hAnsi="Times New Roman"/>
          <w:b/>
          <w:bCs/>
          <w:sz w:val="20"/>
          <w:lang w:val="en-GB"/>
        </w:rPr>
      </w:pPr>
      <w:r>
        <w:rPr>
          <w:rFonts w:ascii="Times New Roman" w:hAnsi="Times New Roman"/>
          <w:b/>
          <w:bCs/>
          <w:sz w:val="20"/>
          <w:lang w:val="en-GB"/>
        </w:rPr>
        <w:t>Proposal 1: RAN3 to confirm the use case(s) for alternative coverage configurations in NR.</w:t>
      </w:r>
    </w:p>
    <w:p w14:paraId="301DC4E3" w14:textId="77777777" w:rsidR="004A4CB8" w:rsidRDefault="004A4CB8" w:rsidP="004A4CB8">
      <w:pPr>
        <w:pStyle w:val="00BodyText"/>
        <w:spacing w:after="0"/>
        <w:rPr>
          <w:rFonts w:ascii="Times New Roman" w:hAnsi="Times New Roman"/>
          <w:b/>
          <w:bCs/>
          <w:sz w:val="20"/>
          <w:lang w:val="en-GB"/>
        </w:rPr>
      </w:pPr>
    </w:p>
    <w:p w14:paraId="1ADB920B" w14:textId="77777777" w:rsidR="004A4CB8" w:rsidRDefault="004A4CB8" w:rsidP="004A4CB8">
      <w:pPr>
        <w:pStyle w:val="00BodyText"/>
        <w:spacing w:after="0"/>
        <w:rPr>
          <w:rFonts w:ascii="Times New Roman" w:hAnsi="Times New Roman"/>
          <w:b/>
          <w:bCs/>
          <w:sz w:val="20"/>
          <w:lang w:val="en-GB"/>
        </w:rPr>
      </w:pPr>
      <w:r>
        <w:rPr>
          <w:rFonts w:ascii="Times New Roman" w:hAnsi="Times New Roman"/>
          <w:b/>
          <w:bCs/>
          <w:sz w:val="20"/>
          <w:lang w:val="en-GB"/>
        </w:rPr>
        <w:t>Observation 1: The requirement of coordinated coverage adjustments in neighbour cells and neighbour nodes holds for both LTE and NR.</w:t>
      </w:r>
    </w:p>
    <w:p w14:paraId="747E772D" w14:textId="77777777" w:rsidR="004A4CB8" w:rsidRDefault="004A4CB8" w:rsidP="004A4CB8">
      <w:pPr>
        <w:pStyle w:val="00BodyText"/>
        <w:spacing w:after="0"/>
        <w:rPr>
          <w:rFonts w:ascii="Times New Roman" w:hAnsi="Times New Roman"/>
          <w:b/>
          <w:bCs/>
          <w:sz w:val="20"/>
          <w:lang w:val="en-GB"/>
        </w:rPr>
      </w:pPr>
    </w:p>
    <w:p w14:paraId="32AEE89E" w14:textId="77777777" w:rsidR="004A4CB8" w:rsidRDefault="004A4CB8" w:rsidP="004A4CB8">
      <w:pPr>
        <w:pStyle w:val="00BodyText"/>
        <w:spacing w:after="0"/>
        <w:rPr>
          <w:rFonts w:ascii="Times New Roman" w:hAnsi="Times New Roman"/>
          <w:b/>
          <w:bCs/>
          <w:sz w:val="20"/>
          <w:lang w:val="en-GB"/>
        </w:rPr>
      </w:pPr>
      <w:r>
        <w:rPr>
          <w:rFonts w:ascii="Times New Roman" w:hAnsi="Times New Roman"/>
          <w:b/>
          <w:bCs/>
          <w:sz w:val="20"/>
          <w:lang w:val="en-GB"/>
        </w:rPr>
        <w:t xml:space="preserve">Proposal 2: For NR, OAM </w:t>
      </w:r>
      <w:proofErr w:type="gramStart"/>
      <w:r>
        <w:rPr>
          <w:rFonts w:ascii="Times New Roman" w:hAnsi="Times New Roman"/>
          <w:b/>
          <w:bCs/>
          <w:sz w:val="20"/>
          <w:lang w:val="en-GB"/>
        </w:rPr>
        <w:t>is in charge of</w:t>
      </w:r>
      <w:proofErr w:type="gramEnd"/>
      <w:r>
        <w:rPr>
          <w:rFonts w:ascii="Times New Roman" w:hAnsi="Times New Roman"/>
          <w:b/>
          <w:bCs/>
          <w:sz w:val="20"/>
          <w:lang w:val="en-GB"/>
        </w:rPr>
        <w:t xml:space="preserve"> providing allowed coverage combinations in neighbour </w:t>
      </w:r>
      <w:proofErr w:type="spellStart"/>
      <w:r>
        <w:rPr>
          <w:rFonts w:ascii="Times New Roman" w:hAnsi="Times New Roman"/>
          <w:b/>
          <w:bCs/>
          <w:sz w:val="20"/>
          <w:lang w:val="en-GB"/>
        </w:rPr>
        <w:t>gNBs</w:t>
      </w:r>
      <w:proofErr w:type="spellEnd"/>
      <w:r>
        <w:rPr>
          <w:rFonts w:ascii="Times New Roman" w:hAnsi="Times New Roman"/>
          <w:b/>
          <w:bCs/>
          <w:sz w:val="20"/>
          <w:lang w:val="en-GB"/>
        </w:rPr>
        <w:t xml:space="preserve"> and en-</w:t>
      </w:r>
      <w:proofErr w:type="spellStart"/>
      <w:r>
        <w:rPr>
          <w:rFonts w:ascii="Times New Roman" w:hAnsi="Times New Roman"/>
          <w:b/>
          <w:bCs/>
          <w:sz w:val="20"/>
          <w:lang w:val="en-GB"/>
        </w:rPr>
        <w:t>gNBs</w:t>
      </w:r>
      <w:proofErr w:type="spellEnd"/>
      <w:r>
        <w:rPr>
          <w:rFonts w:ascii="Times New Roman" w:hAnsi="Times New Roman"/>
          <w:b/>
          <w:bCs/>
          <w:sz w:val="20"/>
          <w:lang w:val="en-GB"/>
        </w:rPr>
        <w:t>.</w:t>
      </w:r>
    </w:p>
    <w:p w14:paraId="7B1EC532" w14:textId="77777777" w:rsidR="004A4CB8" w:rsidRDefault="004A4CB8" w:rsidP="004A4CB8">
      <w:pPr>
        <w:pStyle w:val="00BodyText"/>
        <w:spacing w:after="0"/>
        <w:rPr>
          <w:rFonts w:ascii="Times New Roman" w:hAnsi="Times New Roman"/>
          <w:b/>
          <w:bCs/>
          <w:sz w:val="20"/>
          <w:lang w:val="en-GB"/>
        </w:rPr>
      </w:pPr>
    </w:p>
    <w:p w14:paraId="667FFA29" w14:textId="01170B0A" w:rsidR="004A4CB8" w:rsidRDefault="004A4CB8" w:rsidP="004A4CB8">
      <w:pPr>
        <w:pStyle w:val="00BodyText"/>
        <w:spacing w:after="0"/>
        <w:rPr>
          <w:rFonts w:ascii="Times New Roman" w:hAnsi="Times New Roman"/>
          <w:b/>
          <w:bCs/>
          <w:sz w:val="20"/>
          <w:lang w:val="en-GB"/>
        </w:rPr>
      </w:pPr>
      <w:r>
        <w:rPr>
          <w:rFonts w:ascii="Times New Roman" w:hAnsi="Times New Roman"/>
          <w:b/>
          <w:bCs/>
          <w:sz w:val="20"/>
          <w:lang w:val="en-GB"/>
        </w:rPr>
        <w:t>Proposal 3: The gNB-CU takes the responsibility as coordinating node for inter-gNB-DU coverage modifications for the purpose of capacity optimization, within the limit of the overall OAM-defined geographical area covered by the gNB-CU.</w:t>
      </w:r>
    </w:p>
    <w:p w14:paraId="6C0F388D" w14:textId="77777777" w:rsidR="004A4CB8" w:rsidRDefault="004A4CB8" w:rsidP="004A4CB8">
      <w:pPr>
        <w:pStyle w:val="00BodyText"/>
        <w:spacing w:after="0"/>
        <w:rPr>
          <w:rFonts w:ascii="Times New Roman" w:hAnsi="Times New Roman"/>
          <w:b/>
          <w:bCs/>
          <w:sz w:val="20"/>
          <w:lang w:val="en-GB"/>
        </w:rPr>
      </w:pPr>
    </w:p>
    <w:p w14:paraId="2ACE1FA6" w14:textId="0C10B3AC" w:rsidR="004A4CB8" w:rsidRDefault="004A4CB8" w:rsidP="004A4CB8">
      <w:pPr>
        <w:pStyle w:val="00BodyText"/>
        <w:spacing w:after="0"/>
        <w:rPr>
          <w:rFonts w:ascii="Times New Roman" w:hAnsi="Times New Roman"/>
          <w:b/>
          <w:bCs/>
          <w:sz w:val="20"/>
          <w:lang w:val="en-GB"/>
        </w:rPr>
      </w:pPr>
      <w:r>
        <w:rPr>
          <w:rFonts w:ascii="Times New Roman" w:hAnsi="Times New Roman"/>
          <w:b/>
          <w:bCs/>
          <w:sz w:val="20"/>
          <w:lang w:val="en-GB"/>
        </w:rPr>
        <w:t>Proposal 4: The gNB-CU makes the final decision on the coverage configuration to use (revert working assumption).</w:t>
      </w:r>
    </w:p>
    <w:p w14:paraId="604D2EFE" w14:textId="77777777" w:rsidR="004A4CB8" w:rsidRDefault="004A4CB8" w:rsidP="004A4CB8">
      <w:pPr>
        <w:pStyle w:val="00BodyText"/>
        <w:spacing w:after="0"/>
        <w:rPr>
          <w:rFonts w:ascii="Times New Roman" w:hAnsi="Times New Roman"/>
          <w:b/>
          <w:bCs/>
          <w:sz w:val="20"/>
          <w:lang w:val="en-GB"/>
        </w:rPr>
      </w:pPr>
    </w:p>
    <w:p w14:paraId="4E629A8F" w14:textId="0984A21C" w:rsidR="004A4CB8" w:rsidRDefault="004A4CB8" w:rsidP="004A4CB8">
      <w:pPr>
        <w:pStyle w:val="00BodyText"/>
        <w:spacing w:after="0"/>
        <w:rPr>
          <w:rFonts w:ascii="Times New Roman" w:hAnsi="Times New Roman"/>
          <w:b/>
          <w:bCs/>
          <w:sz w:val="20"/>
          <w:lang w:val="en-GB"/>
        </w:rPr>
      </w:pPr>
      <w:r>
        <w:rPr>
          <w:rFonts w:ascii="Times New Roman" w:hAnsi="Times New Roman"/>
          <w:b/>
          <w:bCs/>
          <w:sz w:val="20"/>
          <w:lang w:val="en-GB"/>
        </w:rPr>
        <w:t>Proposal 5: Simplified F1AP signalling based on OAM-defined configuration options is sufficient for Rel-17 NR CCO.</w:t>
      </w:r>
    </w:p>
    <w:p w14:paraId="404BC93D" w14:textId="77777777" w:rsidR="004A4CB8" w:rsidRDefault="004A4CB8" w:rsidP="004A4CB8">
      <w:pPr>
        <w:pStyle w:val="00BodyText"/>
        <w:spacing w:after="0"/>
        <w:rPr>
          <w:rFonts w:ascii="Times New Roman" w:hAnsi="Times New Roman"/>
          <w:b/>
          <w:bCs/>
          <w:sz w:val="20"/>
          <w:lang w:val="en-GB"/>
        </w:rPr>
      </w:pPr>
    </w:p>
    <w:sectPr w:rsidR="004A4CB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C74478" w14:textId="77777777" w:rsidR="001F3FD7" w:rsidRDefault="001F3FD7">
      <w:r>
        <w:separator/>
      </w:r>
    </w:p>
  </w:endnote>
  <w:endnote w:type="continuationSeparator" w:id="0">
    <w:p w14:paraId="419D4FC2" w14:textId="77777777" w:rsidR="001F3FD7" w:rsidRDefault="001F3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CFD064" w14:textId="77777777" w:rsidR="001F3FD7" w:rsidRDefault="001F3FD7">
      <w:r>
        <w:separator/>
      </w:r>
    </w:p>
  </w:footnote>
  <w:footnote w:type="continuationSeparator" w:id="0">
    <w:p w14:paraId="5F773138" w14:textId="77777777" w:rsidR="001F3FD7" w:rsidRDefault="001F3F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4078B5"/>
    <w:multiLevelType w:val="hybridMultilevel"/>
    <w:tmpl w:val="1C565C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AD1BBE"/>
    <w:multiLevelType w:val="hybridMultilevel"/>
    <w:tmpl w:val="E6922D52"/>
    <w:lvl w:ilvl="0" w:tplc="54EEB3D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2B2271C"/>
    <w:multiLevelType w:val="hybridMultilevel"/>
    <w:tmpl w:val="160C1E2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16B46"/>
    <w:rsid w:val="00032AB9"/>
    <w:rsid w:val="00033397"/>
    <w:rsid w:val="000342C7"/>
    <w:rsid w:val="000346C3"/>
    <w:rsid w:val="00040095"/>
    <w:rsid w:val="000453FE"/>
    <w:rsid w:val="0005563E"/>
    <w:rsid w:val="00080512"/>
    <w:rsid w:val="000835E7"/>
    <w:rsid w:val="00083F0D"/>
    <w:rsid w:val="000B7BCF"/>
    <w:rsid w:val="000C556D"/>
    <w:rsid w:val="000D376D"/>
    <w:rsid w:val="000D58AB"/>
    <w:rsid w:val="001075B7"/>
    <w:rsid w:val="001370F2"/>
    <w:rsid w:val="001549DD"/>
    <w:rsid w:val="00194CD0"/>
    <w:rsid w:val="001B08B3"/>
    <w:rsid w:val="001C4281"/>
    <w:rsid w:val="001D0D3F"/>
    <w:rsid w:val="001F168B"/>
    <w:rsid w:val="001F3FD7"/>
    <w:rsid w:val="001F70B7"/>
    <w:rsid w:val="0021689F"/>
    <w:rsid w:val="002212E3"/>
    <w:rsid w:val="00225F6D"/>
    <w:rsid w:val="0022606D"/>
    <w:rsid w:val="002305DD"/>
    <w:rsid w:val="00243BC7"/>
    <w:rsid w:val="002623FC"/>
    <w:rsid w:val="00263BC4"/>
    <w:rsid w:val="002747EC"/>
    <w:rsid w:val="002855BF"/>
    <w:rsid w:val="002953B2"/>
    <w:rsid w:val="002E1692"/>
    <w:rsid w:val="002E7DDF"/>
    <w:rsid w:val="002F0D22"/>
    <w:rsid w:val="003172DC"/>
    <w:rsid w:val="00326069"/>
    <w:rsid w:val="003454FC"/>
    <w:rsid w:val="0035462D"/>
    <w:rsid w:val="00363177"/>
    <w:rsid w:val="00366A32"/>
    <w:rsid w:val="003702F7"/>
    <w:rsid w:val="00391F23"/>
    <w:rsid w:val="003B3FB3"/>
    <w:rsid w:val="003C4E37"/>
    <w:rsid w:val="003E1194"/>
    <w:rsid w:val="003E16BE"/>
    <w:rsid w:val="003E7223"/>
    <w:rsid w:val="00401661"/>
    <w:rsid w:val="00401855"/>
    <w:rsid w:val="00464695"/>
    <w:rsid w:val="00476877"/>
    <w:rsid w:val="00481B19"/>
    <w:rsid w:val="00483405"/>
    <w:rsid w:val="004A4CB8"/>
    <w:rsid w:val="004D3578"/>
    <w:rsid w:val="004D380D"/>
    <w:rsid w:val="004D3F58"/>
    <w:rsid w:val="004D5E47"/>
    <w:rsid w:val="004E213A"/>
    <w:rsid w:val="004E21FC"/>
    <w:rsid w:val="00501C44"/>
    <w:rsid w:val="00503171"/>
    <w:rsid w:val="0051093B"/>
    <w:rsid w:val="005153FE"/>
    <w:rsid w:val="005240A4"/>
    <w:rsid w:val="00531C12"/>
    <w:rsid w:val="00534DA0"/>
    <w:rsid w:val="00540B31"/>
    <w:rsid w:val="00543E6C"/>
    <w:rsid w:val="00544635"/>
    <w:rsid w:val="00565087"/>
    <w:rsid w:val="0056573F"/>
    <w:rsid w:val="00565BE9"/>
    <w:rsid w:val="00571CE2"/>
    <w:rsid w:val="005A4971"/>
    <w:rsid w:val="005B1232"/>
    <w:rsid w:val="005B2EEF"/>
    <w:rsid w:val="005C36FA"/>
    <w:rsid w:val="005D4274"/>
    <w:rsid w:val="00605E3E"/>
    <w:rsid w:val="00606DA9"/>
    <w:rsid w:val="0060700C"/>
    <w:rsid w:val="00610CF7"/>
    <w:rsid w:val="00611566"/>
    <w:rsid w:val="006257BB"/>
    <w:rsid w:val="00656E1E"/>
    <w:rsid w:val="006604E4"/>
    <w:rsid w:val="006A307C"/>
    <w:rsid w:val="006B04F3"/>
    <w:rsid w:val="006C54B5"/>
    <w:rsid w:val="006D074B"/>
    <w:rsid w:val="006D1E24"/>
    <w:rsid w:val="006F4C9F"/>
    <w:rsid w:val="00734A5B"/>
    <w:rsid w:val="00741EC5"/>
    <w:rsid w:val="00743525"/>
    <w:rsid w:val="00744E76"/>
    <w:rsid w:val="007476DB"/>
    <w:rsid w:val="00757D40"/>
    <w:rsid w:val="00774846"/>
    <w:rsid w:val="00775104"/>
    <w:rsid w:val="00781F0F"/>
    <w:rsid w:val="0078727C"/>
    <w:rsid w:val="00797D4B"/>
    <w:rsid w:val="007B3D6E"/>
    <w:rsid w:val="007C095F"/>
    <w:rsid w:val="007D5902"/>
    <w:rsid w:val="00802106"/>
    <w:rsid w:val="008028A4"/>
    <w:rsid w:val="00806520"/>
    <w:rsid w:val="00830106"/>
    <w:rsid w:val="00840916"/>
    <w:rsid w:val="00853EDD"/>
    <w:rsid w:val="008604EE"/>
    <w:rsid w:val="0087401D"/>
    <w:rsid w:val="008768CA"/>
    <w:rsid w:val="00880559"/>
    <w:rsid w:val="008B2146"/>
    <w:rsid w:val="008C490B"/>
    <w:rsid w:val="008E3981"/>
    <w:rsid w:val="0090271F"/>
    <w:rsid w:val="00903D8C"/>
    <w:rsid w:val="009150BC"/>
    <w:rsid w:val="0092080B"/>
    <w:rsid w:val="00942EC2"/>
    <w:rsid w:val="00954713"/>
    <w:rsid w:val="00954BCB"/>
    <w:rsid w:val="00961B32"/>
    <w:rsid w:val="00971683"/>
    <w:rsid w:val="00972FD7"/>
    <w:rsid w:val="00974BB0"/>
    <w:rsid w:val="00974C84"/>
    <w:rsid w:val="009A6E4F"/>
    <w:rsid w:val="009B5957"/>
    <w:rsid w:val="009B6722"/>
    <w:rsid w:val="009C4D5C"/>
    <w:rsid w:val="009D0A28"/>
    <w:rsid w:val="009F3B54"/>
    <w:rsid w:val="009F7E6E"/>
    <w:rsid w:val="00A10F02"/>
    <w:rsid w:val="00A11579"/>
    <w:rsid w:val="00A32859"/>
    <w:rsid w:val="00A46FF1"/>
    <w:rsid w:val="00A53724"/>
    <w:rsid w:val="00A82346"/>
    <w:rsid w:val="00A8361A"/>
    <w:rsid w:val="00A9671C"/>
    <w:rsid w:val="00AA5720"/>
    <w:rsid w:val="00AD4BCF"/>
    <w:rsid w:val="00AE183C"/>
    <w:rsid w:val="00AF4A8E"/>
    <w:rsid w:val="00AF78D5"/>
    <w:rsid w:val="00B0484D"/>
    <w:rsid w:val="00B1063A"/>
    <w:rsid w:val="00B15449"/>
    <w:rsid w:val="00B54374"/>
    <w:rsid w:val="00B61511"/>
    <w:rsid w:val="00B9673B"/>
    <w:rsid w:val="00B9781E"/>
    <w:rsid w:val="00BA3009"/>
    <w:rsid w:val="00BA65AB"/>
    <w:rsid w:val="00BF5431"/>
    <w:rsid w:val="00BF79F1"/>
    <w:rsid w:val="00C03035"/>
    <w:rsid w:val="00C275BC"/>
    <w:rsid w:val="00C31133"/>
    <w:rsid w:val="00C33079"/>
    <w:rsid w:val="00C34986"/>
    <w:rsid w:val="00C365F1"/>
    <w:rsid w:val="00C43B31"/>
    <w:rsid w:val="00C50536"/>
    <w:rsid w:val="00C55EB7"/>
    <w:rsid w:val="00C92D9A"/>
    <w:rsid w:val="00C95666"/>
    <w:rsid w:val="00CA3D0C"/>
    <w:rsid w:val="00CB6651"/>
    <w:rsid w:val="00CB6887"/>
    <w:rsid w:val="00CD4C7B"/>
    <w:rsid w:val="00D22038"/>
    <w:rsid w:val="00D24D71"/>
    <w:rsid w:val="00D32551"/>
    <w:rsid w:val="00D45717"/>
    <w:rsid w:val="00D738D6"/>
    <w:rsid w:val="00D7738D"/>
    <w:rsid w:val="00D80795"/>
    <w:rsid w:val="00D80AB8"/>
    <w:rsid w:val="00D87E00"/>
    <w:rsid w:val="00D908B4"/>
    <w:rsid w:val="00D9134D"/>
    <w:rsid w:val="00D93FEA"/>
    <w:rsid w:val="00D97CD9"/>
    <w:rsid w:val="00DA7A03"/>
    <w:rsid w:val="00DB1818"/>
    <w:rsid w:val="00DB5928"/>
    <w:rsid w:val="00DC26BD"/>
    <w:rsid w:val="00DC309B"/>
    <w:rsid w:val="00DC4DA2"/>
    <w:rsid w:val="00DD143D"/>
    <w:rsid w:val="00DE1406"/>
    <w:rsid w:val="00DF5ABA"/>
    <w:rsid w:val="00E07838"/>
    <w:rsid w:val="00E340BC"/>
    <w:rsid w:val="00E50837"/>
    <w:rsid w:val="00E51F8B"/>
    <w:rsid w:val="00E53E21"/>
    <w:rsid w:val="00E62835"/>
    <w:rsid w:val="00E77645"/>
    <w:rsid w:val="00E809EE"/>
    <w:rsid w:val="00E852FF"/>
    <w:rsid w:val="00E90ABE"/>
    <w:rsid w:val="00EA22F8"/>
    <w:rsid w:val="00EB6AB9"/>
    <w:rsid w:val="00EC4A25"/>
    <w:rsid w:val="00EE0A1E"/>
    <w:rsid w:val="00EF0573"/>
    <w:rsid w:val="00F025A2"/>
    <w:rsid w:val="00F2026E"/>
    <w:rsid w:val="00F2210A"/>
    <w:rsid w:val="00F33311"/>
    <w:rsid w:val="00F37743"/>
    <w:rsid w:val="00F54A3D"/>
    <w:rsid w:val="00F54CB8"/>
    <w:rsid w:val="00F653B8"/>
    <w:rsid w:val="00F76F8F"/>
    <w:rsid w:val="00FA1266"/>
    <w:rsid w:val="00FB2BEA"/>
    <w:rsid w:val="00FC1192"/>
    <w:rsid w:val="00FC53BF"/>
    <w:rsid w:val="00FC6713"/>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Heading2Char">
    <w:name w:val="Heading 2 Char"/>
    <w:link w:val="Heading2"/>
    <w:rsid w:val="00F54CB8"/>
    <w:rPr>
      <w:rFonts w:ascii="Arial" w:hAnsi="Arial"/>
      <w:sz w:val="32"/>
      <w:lang w:val="en-GB" w:eastAsia="en-US"/>
    </w:rPr>
  </w:style>
  <w:style w:type="character" w:styleId="CommentReference">
    <w:name w:val="annotation reference"/>
    <w:basedOn w:val="DefaultParagraphFont"/>
    <w:rsid w:val="000346C3"/>
    <w:rPr>
      <w:sz w:val="16"/>
      <w:szCs w:val="16"/>
    </w:rPr>
  </w:style>
  <w:style w:type="paragraph" w:styleId="CommentText">
    <w:name w:val="annotation text"/>
    <w:basedOn w:val="Normal"/>
    <w:link w:val="CommentTextChar"/>
    <w:rsid w:val="000346C3"/>
  </w:style>
  <w:style w:type="character" w:customStyle="1" w:styleId="CommentTextChar">
    <w:name w:val="Comment Text Char"/>
    <w:basedOn w:val="DefaultParagraphFont"/>
    <w:link w:val="CommentText"/>
    <w:rsid w:val="000346C3"/>
    <w:rPr>
      <w:lang w:val="en-GB" w:eastAsia="en-US"/>
    </w:rPr>
  </w:style>
  <w:style w:type="paragraph" w:styleId="CommentSubject">
    <w:name w:val="annotation subject"/>
    <w:basedOn w:val="CommentText"/>
    <w:next w:val="CommentText"/>
    <w:link w:val="CommentSubjectChar"/>
    <w:rsid w:val="000346C3"/>
    <w:rPr>
      <w:b/>
      <w:bCs/>
    </w:rPr>
  </w:style>
  <w:style w:type="character" w:customStyle="1" w:styleId="CommentSubjectChar">
    <w:name w:val="Comment Subject Char"/>
    <w:basedOn w:val="CommentTextChar"/>
    <w:link w:val="CommentSubject"/>
    <w:rsid w:val="000346C3"/>
    <w:rPr>
      <w:b/>
      <w:bCs/>
      <w:lang w:val="en-GB" w:eastAsia="en-US"/>
    </w:rPr>
  </w:style>
  <w:style w:type="paragraph" w:styleId="BalloonText">
    <w:name w:val="Balloon Text"/>
    <w:basedOn w:val="Normal"/>
    <w:link w:val="BalloonTextChar"/>
    <w:semiHidden/>
    <w:unhideWhenUsed/>
    <w:rsid w:val="000346C3"/>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0346C3"/>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171763">
      <w:bodyDiv w:val="1"/>
      <w:marLeft w:val="0"/>
      <w:marRight w:val="0"/>
      <w:marTop w:val="0"/>
      <w:marBottom w:val="0"/>
      <w:divBdr>
        <w:top w:val="none" w:sz="0" w:space="0" w:color="auto"/>
        <w:left w:val="none" w:sz="0" w:space="0" w:color="auto"/>
        <w:bottom w:val="none" w:sz="0" w:space="0" w:color="auto"/>
        <w:right w:val="none" w:sz="0" w:space="0" w:color="auto"/>
      </w:divBdr>
    </w:div>
    <w:div w:id="336268983">
      <w:bodyDiv w:val="1"/>
      <w:marLeft w:val="0"/>
      <w:marRight w:val="0"/>
      <w:marTop w:val="0"/>
      <w:marBottom w:val="0"/>
      <w:divBdr>
        <w:top w:val="none" w:sz="0" w:space="0" w:color="auto"/>
        <w:left w:val="none" w:sz="0" w:space="0" w:color="auto"/>
        <w:bottom w:val="none" w:sz="0" w:space="0" w:color="auto"/>
        <w:right w:val="none" w:sz="0" w:space="0" w:color="auto"/>
      </w:divBdr>
    </w:div>
    <w:div w:id="681125256">
      <w:bodyDiv w:val="1"/>
      <w:marLeft w:val="0"/>
      <w:marRight w:val="0"/>
      <w:marTop w:val="0"/>
      <w:marBottom w:val="0"/>
      <w:divBdr>
        <w:top w:val="none" w:sz="0" w:space="0" w:color="auto"/>
        <w:left w:val="none" w:sz="0" w:space="0" w:color="auto"/>
        <w:bottom w:val="none" w:sz="0" w:space="0" w:color="auto"/>
        <w:right w:val="none" w:sz="0" w:space="0" w:color="auto"/>
      </w:divBdr>
    </w:div>
    <w:div w:id="2113234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37</TotalTime>
  <Pages>3</Pages>
  <Words>1059</Words>
  <Characters>5829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6875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14</cp:revision>
  <dcterms:created xsi:type="dcterms:W3CDTF">2021-08-05T13:22:00Z</dcterms:created>
  <dcterms:modified xsi:type="dcterms:W3CDTF">2021-08-05T14:04:00Z</dcterms:modified>
</cp:coreProperties>
</file>